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北京市大兴区文化和旅游局</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both"/>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both"/>
        <w:textAlignment w:val="auto"/>
        <w:rPr>
          <w:rFonts w:hint="eastAsia" w:ascii="仿宋_GB2312" w:hAnsi="宋体" w:eastAsia="仿宋_GB2312" w:cs="宋体"/>
          <w:spacing w:val="8"/>
          <w:kern w:val="0"/>
          <w:sz w:val="32"/>
          <w:szCs w:val="32"/>
        </w:rPr>
      </w:pPr>
      <w:r>
        <w:rPr>
          <w:rFonts w:ascii="黑体" w:hAnsi="黑体" w:eastAsia="黑体" w:cs="宋体"/>
          <w:spacing w:val="8"/>
          <w:kern w:val="0"/>
          <w:sz w:val="32"/>
          <w:szCs w:val="32"/>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（一）组织领导情况。</w:t>
      </w:r>
      <w:r>
        <w:rPr>
          <w:rFonts w:hint="eastAsia" w:ascii="仿宋_GB2312" w:hAnsi="仿宋_GB2312" w:eastAsia="仿宋_GB2312" w:cs="仿宋_GB2312"/>
          <w:b w:val="0"/>
          <w:bCs w:val="0"/>
          <w:color w:val="auto"/>
          <w:sz w:val="32"/>
          <w:szCs w:val="32"/>
        </w:rPr>
        <w:t>明确政府信息公开工作领导机构和主管部门，成立由局长任组长，主管副局长任副组长，机关各科（室）、所属事业单位负责人为成员的政府信息公开工作领导小组，统一负责政府信息公开工作的组织实施，定期召开会议，研究部署政府信息公开相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w:t>
      </w:r>
      <w:r>
        <w:rPr>
          <w:rFonts w:hint="eastAsia" w:ascii="楷体_GB2312" w:hAnsi="楷体_GB2312" w:eastAsia="楷体_GB2312" w:cs="楷体_GB2312"/>
          <w:b w:val="0"/>
          <w:bCs w:val="0"/>
          <w:color w:val="auto"/>
          <w:sz w:val="32"/>
          <w:szCs w:val="32"/>
        </w:rPr>
        <w:t>（二）主动公开情况。</w:t>
      </w:r>
      <w:r>
        <w:rPr>
          <w:rFonts w:hint="eastAsia" w:ascii="仿宋_GB2312" w:hAnsi="仿宋_GB2312" w:eastAsia="仿宋_GB2312" w:cs="仿宋_GB2312"/>
          <w:b w:val="0"/>
          <w:bCs w:val="0"/>
          <w:i w:val="0"/>
          <w:caps w:val="0"/>
          <w:color w:val="auto"/>
          <w:spacing w:val="0"/>
          <w:sz w:val="32"/>
          <w:szCs w:val="32"/>
          <w:shd w:val="clear" w:fill="FFFFFF"/>
        </w:rPr>
        <w:t>2022年，</w:t>
      </w:r>
      <w:r>
        <w:rPr>
          <w:rFonts w:hint="eastAsia" w:ascii="仿宋_GB2312" w:hAnsi="仿宋_GB2312" w:eastAsia="仿宋_GB2312" w:cs="仿宋_GB2312"/>
          <w:b w:val="0"/>
          <w:bCs w:val="0"/>
          <w:i w:val="0"/>
          <w:caps w:val="0"/>
          <w:color w:val="auto"/>
          <w:spacing w:val="0"/>
          <w:sz w:val="32"/>
          <w:szCs w:val="32"/>
          <w:shd w:val="clear" w:fill="FFFFFF"/>
          <w:lang w:eastAsia="zh-CN"/>
        </w:rPr>
        <w:t>本</w:t>
      </w:r>
      <w:r>
        <w:rPr>
          <w:rFonts w:hint="eastAsia" w:ascii="仿宋_GB2312" w:hAnsi="仿宋_GB2312" w:eastAsia="仿宋_GB2312" w:cs="仿宋_GB2312"/>
          <w:b w:val="0"/>
          <w:bCs w:val="0"/>
          <w:i w:val="0"/>
          <w:caps w:val="0"/>
          <w:color w:val="auto"/>
          <w:spacing w:val="0"/>
          <w:sz w:val="32"/>
          <w:szCs w:val="32"/>
          <w:shd w:val="clear" w:fill="FFFFFF"/>
        </w:rPr>
        <w:t>局</w:t>
      </w:r>
      <w:r>
        <w:rPr>
          <w:rFonts w:hint="eastAsia" w:ascii="仿宋_GB2312" w:hAnsi="仿宋_GB2312" w:eastAsia="仿宋_GB2312" w:cs="仿宋_GB2312"/>
          <w:b w:val="0"/>
          <w:bCs w:val="0"/>
          <w:i w:val="0"/>
          <w:caps w:val="0"/>
          <w:color w:val="auto"/>
          <w:spacing w:val="0"/>
          <w:sz w:val="32"/>
          <w:szCs w:val="32"/>
          <w:shd w:val="clear" w:fill="FFFFFF"/>
          <w:lang w:eastAsia="zh-CN"/>
        </w:rPr>
        <w:t>通过政府网站发布各类信息</w:t>
      </w:r>
      <w:r>
        <w:rPr>
          <w:rFonts w:hint="eastAsia" w:ascii="仿宋_GB2312" w:hAnsi="仿宋_GB2312" w:eastAsia="仿宋_GB2312" w:cs="仿宋_GB2312"/>
          <w:b w:val="0"/>
          <w:bCs w:val="0"/>
          <w:i w:val="0"/>
          <w:caps w:val="0"/>
          <w:color w:val="auto"/>
          <w:spacing w:val="0"/>
          <w:sz w:val="32"/>
          <w:szCs w:val="32"/>
          <w:shd w:val="clear" w:fill="FFFFFF"/>
          <w:lang w:val="en-US" w:eastAsia="zh-CN"/>
        </w:rPr>
        <w:t>130条；通过</w:t>
      </w:r>
      <w:r>
        <w:rPr>
          <w:rFonts w:hint="eastAsia" w:ascii="仿宋_GB2312" w:hAnsi="仿宋_GB2312" w:eastAsia="仿宋_GB2312" w:cs="仿宋_GB2312"/>
          <w:b w:val="0"/>
          <w:bCs w:val="0"/>
          <w:i w:val="0"/>
          <w:caps w:val="0"/>
          <w:color w:val="auto"/>
          <w:spacing w:val="0"/>
          <w:sz w:val="32"/>
          <w:szCs w:val="32"/>
          <w:shd w:val="clear" w:fill="FFFFFF"/>
          <w:lang w:eastAsia="zh-CN"/>
        </w:rPr>
        <w:t>新媒体账号</w:t>
      </w:r>
      <w:r>
        <w:rPr>
          <w:rFonts w:hint="eastAsia" w:ascii="仿宋_GB2312" w:hAnsi="仿宋_GB2312" w:eastAsia="仿宋_GB2312" w:cs="仿宋_GB2312"/>
          <w:b w:val="0"/>
          <w:bCs w:val="0"/>
          <w:i w:val="0"/>
          <w:caps w:val="0"/>
          <w:color w:val="auto"/>
          <w:spacing w:val="0"/>
          <w:sz w:val="32"/>
          <w:szCs w:val="32"/>
          <w:shd w:val="clear" w:fill="FFFFFF"/>
        </w:rPr>
        <w:t>“文旅大兴”发布信息1200余条</w:t>
      </w:r>
      <w:r>
        <w:rPr>
          <w:rFonts w:hint="eastAsia" w:ascii="仿宋_GB2312" w:hAnsi="仿宋_GB2312" w:eastAsia="仿宋_GB2312" w:cs="仿宋_GB2312"/>
          <w:b w:val="0"/>
          <w:bCs w:val="0"/>
          <w:i w:val="0"/>
          <w:caps w:val="0"/>
          <w:color w:val="auto"/>
          <w:spacing w:val="0"/>
          <w:sz w:val="32"/>
          <w:szCs w:val="32"/>
          <w:shd w:val="clear" w:fill="FFFFFF"/>
          <w:lang w:eastAsia="zh-CN"/>
        </w:rPr>
        <w:t>；通过</w:t>
      </w:r>
      <w:r>
        <w:rPr>
          <w:rFonts w:hint="eastAsia" w:ascii="仿宋_GB2312" w:hAnsi="仿宋_GB2312" w:eastAsia="仿宋_GB2312" w:cs="仿宋_GB2312"/>
          <w:b w:val="0"/>
          <w:bCs w:val="0"/>
          <w:i w:val="0"/>
          <w:caps w:val="0"/>
          <w:color w:val="auto"/>
          <w:spacing w:val="0"/>
          <w:sz w:val="32"/>
          <w:szCs w:val="32"/>
          <w:shd w:val="clear" w:fill="FFFFFF"/>
        </w:rPr>
        <w:t>《大兴信息》</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t>《北京文化旅游信息》</w:t>
      </w:r>
      <w:r>
        <w:rPr>
          <w:rFonts w:hint="eastAsia" w:ascii="仿宋_GB2312" w:hAnsi="仿宋_GB2312" w:eastAsia="仿宋_GB2312" w:cs="仿宋_GB2312"/>
          <w:b w:val="0"/>
          <w:bCs w:val="0"/>
          <w:i w:val="0"/>
          <w:caps w:val="0"/>
          <w:color w:val="auto"/>
          <w:spacing w:val="0"/>
          <w:sz w:val="32"/>
          <w:szCs w:val="32"/>
          <w:shd w:val="clear" w:fill="FFFFFF"/>
          <w:lang w:eastAsia="zh-CN"/>
        </w:rPr>
        <w:t>发布信息</w:t>
      </w:r>
      <w:r>
        <w:rPr>
          <w:rFonts w:hint="eastAsia" w:ascii="仿宋_GB2312" w:hAnsi="仿宋_GB2312" w:eastAsia="仿宋_GB2312" w:cs="仿宋_GB2312"/>
          <w:b w:val="0"/>
          <w:bCs w:val="0"/>
          <w:i w:val="0"/>
          <w:caps w:val="0"/>
          <w:color w:val="auto"/>
          <w:spacing w:val="0"/>
          <w:sz w:val="32"/>
          <w:szCs w:val="32"/>
          <w:shd w:val="clear" w:fill="FFFFFF"/>
          <w:lang w:val="en-US" w:eastAsia="zh-CN"/>
        </w:rPr>
        <w:t>98篇</w:t>
      </w:r>
      <w:r>
        <w:rPr>
          <w:rFonts w:hint="eastAsia" w:ascii="仿宋_GB2312" w:hAnsi="仿宋_GB2312" w:eastAsia="仿宋_GB2312" w:cs="仿宋_GB2312"/>
          <w:b w:val="0"/>
          <w:bCs w:val="0"/>
          <w:i w:val="0"/>
          <w:caps w:val="0"/>
          <w:color w:val="auto"/>
          <w:spacing w:val="0"/>
          <w:sz w:val="32"/>
          <w:szCs w:val="32"/>
          <w:shd w:val="clear" w:fill="FFFFFF"/>
        </w:rPr>
        <w:t>；各类媒体宣传报道500余次</w:t>
      </w:r>
      <w:r>
        <w:rPr>
          <w:rFonts w:hint="eastAsia" w:ascii="仿宋_GB2312" w:hAnsi="仿宋_GB2312" w:eastAsia="仿宋_GB2312" w:cs="仿宋_GB2312"/>
          <w:b w:val="0"/>
          <w:bCs w:val="0"/>
          <w:i w:val="0"/>
          <w:caps w:val="0"/>
          <w:color w:val="auto"/>
          <w:spacing w:val="0"/>
          <w:sz w:val="32"/>
          <w:szCs w:val="32"/>
          <w:shd w:val="clear" w:fill="FFFFFF"/>
          <w:lang w:eastAsia="zh-CN"/>
        </w:rPr>
        <w:t>。同时，</w:t>
      </w:r>
      <w:r>
        <w:rPr>
          <w:rFonts w:hint="eastAsia" w:ascii="仿宋_GB2312" w:hAnsi="仿宋_GB2312" w:eastAsia="仿宋_GB2312" w:cs="仿宋_GB2312"/>
          <w:b w:val="0"/>
          <w:bCs w:val="0"/>
          <w:color w:val="auto"/>
          <w:sz w:val="32"/>
          <w:szCs w:val="32"/>
        </w:rPr>
        <w:t>定期编制本局政府信息公开指南，修订政府信息公开全清单，并做好重点领域各类信息公开工作。</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依申请公开办理情况。</w:t>
      </w:r>
      <w:r>
        <w:rPr>
          <w:rFonts w:hint="eastAsia" w:ascii="仿宋_GB2312" w:hAnsi="仿宋_GB2312" w:eastAsia="仿宋_GB2312" w:cs="仿宋_GB2312"/>
          <w:b w:val="0"/>
          <w:bCs w:val="0"/>
          <w:color w:val="auto"/>
          <w:spacing w:val="8"/>
          <w:kern w:val="0"/>
          <w:sz w:val="32"/>
          <w:szCs w:val="32"/>
        </w:rPr>
        <w:t>20</w:t>
      </w:r>
      <w:r>
        <w:rPr>
          <w:rFonts w:hint="eastAsia" w:ascii="仿宋_GB2312" w:hAnsi="仿宋_GB2312" w:eastAsia="仿宋_GB2312" w:cs="仿宋_GB2312"/>
          <w:b w:val="0"/>
          <w:bCs w:val="0"/>
          <w:color w:val="auto"/>
          <w:spacing w:val="8"/>
          <w:kern w:val="0"/>
          <w:sz w:val="32"/>
          <w:szCs w:val="32"/>
          <w:lang w:val="en-US" w:eastAsia="zh-CN"/>
        </w:rPr>
        <w:t>22</w:t>
      </w:r>
      <w:r>
        <w:rPr>
          <w:rFonts w:hint="eastAsia" w:ascii="仿宋_GB2312" w:hAnsi="仿宋_GB2312" w:eastAsia="仿宋_GB2312" w:cs="仿宋_GB2312"/>
          <w:b w:val="0"/>
          <w:bCs w:val="0"/>
          <w:color w:val="auto"/>
          <w:spacing w:val="8"/>
          <w:kern w:val="0"/>
          <w:sz w:val="32"/>
          <w:szCs w:val="32"/>
        </w:rPr>
        <w:t>年度，</w:t>
      </w:r>
      <w:r>
        <w:rPr>
          <w:rFonts w:hint="eastAsia" w:ascii="仿宋_GB2312" w:hAnsi="仿宋_GB2312" w:eastAsia="仿宋_GB2312" w:cs="仿宋_GB2312"/>
          <w:b w:val="0"/>
          <w:bCs w:val="0"/>
          <w:color w:val="auto"/>
          <w:spacing w:val="8"/>
          <w:kern w:val="0"/>
          <w:sz w:val="32"/>
          <w:szCs w:val="32"/>
          <w:lang w:eastAsia="zh-CN"/>
        </w:rPr>
        <w:t>本局未收到政府信息公开申请</w:t>
      </w:r>
      <w:r>
        <w:rPr>
          <w:rFonts w:hint="eastAsia" w:ascii="仿宋_GB2312" w:hAnsi="仿宋_GB2312" w:eastAsia="仿宋_GB2312" w:cs="仿宋_GB2312"/>
          <w:b w:val="0"/>
          <w:bCs w:val="0"/>
          <w:color w:val="auto"/>
          <w:spacing w:val="8"/>
          <w:kern w:val="0"/>
          <w:sz w:val="32"/>
          <w:szCs w:val="32"/>
          <w:lang w:val="en-US" w:eastAsia="zh-CN"/>
        </w:rPr>
        <w:t>。</w:t>
      </w:r>
      <w:r>
        <w:rPr>
          <w:rFonts w:hint="eastAsia" w:ascii="仿宋_GB2312" w:hAnsi="仿宋_GB2312" w:eastAsia="仿宋_GB2312" w:cs="仿宋_GB2312"/>
          <w:b w:val="0"/>
          <w:bCs w:val="0"/>
          <w:color w:val="auto"/>
          <w:sz w:val="32"/>
          <w:szCs w:val="32"/>
        </w:rPr>
        <w:t>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（四）政府信息管理情况。</w:t>
      </w:r>
      <w:r>
        <w:rPr>
          <w:rFonts w:hint="eastAsia" w:ascii="仿宋_GB2312" w:hAnsi="仿宋_GB2312" w:eastAsia="仿宋_GB2312" w:cs="仿宋_GB2312"/>
          <w:b w:val="0"/>
          <w:bCs w:val="0"/>
          <w:color w:val="auto"/>
          <w:sz w:val="32"/>
          <w:szCs w:val="32"/>
        </w:rPr>
        <w:t>规范政府信息公开管理工作，根据《政府信息公开条例》及市政府信息公开工作的相关要求，完善信息公开相关机制和流程，加强信息报送的时效性及准确性。</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（五）政府信息公开平台建设情况。</w:t>
      </w:r>
      <w:r>
        <w:rPr>
          <w:rFonts w:hint="eastAsia" w:ascii="仿宋_GB2312" w:hAnsi="仿宋_GB2312" w:eastAsia="仿宋_GB2312" w:cs="仿宋_GB2312"/>
          <w:b w:val="0"/>
          <w:bCs w:val="0"/>
          <w:color w:val="auto"/>
          <w:sz w:val="32"/>
          <w:szCs w:val="32"/>
        </w:rPr>
        <w:t>通过政府网站、政务新媒体</w:t>
      </w:r>
      <w:r>
        <w:rPr>
          <w:rFonts w:hint="eastAsia" w:ascii="仿宋_GB2312" w:hAnsi="仿宋_GB2312" w:eastAsia="仿宋_GB2312" w:cs="仿宋_GB2312"/>
          <w:b w:val="0"/>
          <w:bCs w:val="0"/>
          <w:color w:val="auto"/>
          <w:sz w:val="32"/>
          <w:szCs w:val="32"/>
          <w:lang w:eastAsia="zh-CN"/>
        </w:rPr>
        <w:t>、内刊</w:t>
      </w:r>
      <w:r>
        <w:rPr>
          <w:rFonts w:hint="eastAsia" w:ascii="仿宋_GB2312" w:hAnsi="仿宋_GB2312" w:eastAsia="仿宋_GB2312" w:cs="仿宋_GB2312"/>
          <w:b w:val="0"/>
          <w:bCs w:val="0"/>
          <w:color w:val="auto"/>
          <w:sz w:val="32"/>
          <w:szCs w:val="32"/>
        </w:rPr>
        <w:t>及其他媒体渠道公开各类宣传、业务及活动信息</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i w:val="0"/>
          <w:caps w:val="0"/>
          <w:color w:val="auto"/>
          <w:spacing w:val="0"/>
          <w:sz w:val="32"/>
          <w:szCs w:val="32"/>
          <w:shd w:val="clear" w:fill="FFFFFF"/>
        </w:rPr>
        <w:t>形成各层次媒体互动、传统媒体与新兴媒体互补、内宣与外宣并举的宣传体系</w:t>
      </w:r>
      <w:r>
        <w:rPr>
          <w:rFonts w:hint="eastAsia" w:ascii="仿宋_GB2312" w:hAnsi="仿宋_GB2312" w:eastAsia="仿宋_GB2312" w:cs="仿宋_GB2312"/>
          <w:b w:val="0"/>
          <w:bCs w:val="0"/>
          <w:color w:val="auto"/>
          <w:sz w:val="32"/>
          <w:szCs w:val="32"/>
        </w:rPr>
        <w:t>。同时，区行政服务中心办事大厅文旅局窗口及区图书馆作为政府信息公开查阅点，提供信息公开相关问题咨询，方便公众查阅政府信息。</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8"/>
          <w:kern w:val="0"/>
          <w:sz w:val="32"/>
          <w:szCs w:val="32"/>
        </w:rPr>
      </w:pPr>
      <w:r>
        <w:rPr>
          <w:rFonts w:hint="eastAsia" w:ascii="楷体_GB2312" w:hAnsi="楷体_GB2312" w:eastAsia="楷体_GB2312" w:cs="楷体_GB2312"/>
          <w:b w:val="0"/>
          <w:bCs w:val="0"/>
          <w:color w:val="auto"/>
          <w:sz w:val="32"/>
          <w:szCs w:val="32"/>
        </w:rPr>
        <w:t>（六）教育培训情况。</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eastAsia="zh-CN"/>
        </w:rPr>
        <w:t>提高</w:t>
      </w:r>
      <w:r>
        <w:rPr>
          <w:rFonts w:hint="eastAsia" w:ascii="仿宋_GB2312" w:hAnsi="仿宋_GB2312" w:eastAsia="仿宋_GB2312" w:cs="仿宋_GB2312"/>
          <w:b w:val="0"/>
          <w:bCs w:val="0"/>
          <w:color w:val="auto"/>
          <w:sz w:val="32"/>
          <w:szCs w:val="32"/>
        </w:rPr>
        <w:t>信息</w:t>
      </w:r>
      <w:r>
        <w:rPr>
          <w:rFonts w:hint="eastAsia" w:ascii="仿宋_GB2312" w:hAnsi="仿宋_GB2312" w:eastAsia="仿宋_GB2312" w:cs="仿宋_GB2312"/>
          <w:b w:val="0"/>
          <w:bCs w:val="0"/>
          <w:color w:val="auto"/>
          <w:sz w:val="32"/>
          <w:szCs w:val="32"/>
          <w:lang w:eastAsia="zh-CN"/>
        </w:rPr>
        <w:t>公开</w:t>
      </w: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color w:val="auto"/>
          <w:sz w:val="32"/>
          <w:szCs w:val="32"/>
          <w:lang w:eastAsia="zh-CN"/>
        </w:rPr>
        <w:t>业务水平</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提升信息报送质量，</w:t>
      </w:r>
      <w:r>
        <w:rPr>
          <w:rFonts w:hint="eastAsia" w:ascii="仿宋_GB2312" w:hAnsi="仿宋_GB2312" w:eastAsia="仿宋_GB2312" w:cs="仿宋_GB2312"/>
          <w:b w:val="0"/>
          <w:bCs w:val="0"/>
          <w:color w:val="auto"/>
          <w:sz w:val="32"/>
          <w:szCs w:val="32"/>
          <w:lang w:val="en-US" w:eastAsia="zh-CN"/>
        </w:rPr>
        <w:t>组织工作</w:t>
      </w:r>
      <w:r>
        <w:rPr>
          <w:rFonts w:hint="eastAsia" w:ascii="仿宋_GB2312" w:hAnsi="仿宋_GB2312" w:eastAsia="仿宋_GB2312" w:cs="仿宋_GB2312"/>
          <w:b w:val="0"/>
          <w:bCs w:val="0"/>
          <w:color w:val="auto"/>
          <w:sz w:val="32"/>
          <w:szCs w:val="32"/>
          <w:lang w:eastAsia="zh-CN"/>
        </w:rPr>
        <w:t>培训</w:t>
      </w:r>
      <w:r>
        <w:rPr>
          <w:rFonts w:hint="eastAsia" w:ascii="仿宋_GB2312" w:hAnsi="仿宋_GB2312" w:eastAsia="仿宋_GB2312" w:cs="仿宋_GB2312"/>
          <w:b w:val="0"/>
          <w:bCs w:val="0"/>
          <w:color w:val="auto"/>
          <w:sz w:val="32"/>
          <w:szCs w:val="32"/>
          <w:lang w:val="en-US" w:eastAsia="zh-CN"/>
        </w:rPr>
        <w:t>1次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共计20余人参加。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（七）政府信息监督保障情况。</w:t>
      </w:r>
      <w:r>
        <w:rPr>
          <w:rFonts w:hint="eastAsia" w:ascii="仿宋_GB2312" w:hAnsi="仿宋_GB2312" w:eastAsia="仿宋_GB2312" w:cs="仿宋_GB2312"/>
          <w:b w:val="0"/>
          <w:bCs w:val="0"/>
          <w:color w:val="auto"/>
          <w:sz w:val="32"/>
          <w:szCs w:val="32"/>
        </w:rPr>
        <w:t>为进一步健全和完善信息报送机制，制定《北京市大兴区文化和旅游局信息宣传管理制度》、《大兴区文化和旅游局信息公开工作实施方案》、《信息公开保密审查制度》等一系列工作制度，严格执行领导审查机制，明确分工、优化流程，确保政府信息及时准确公开。</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p>
      <w:pPr>
        <w:pStyle w:val="3"/>
        <w:numPr>
          <w:ilvl w:val="0"/>
          <w:numId w:val="0"/>
        </w:numPr>
        <w:rPr>
          <w:rFonts w:hint="eastAsia"/>
        </w:rPr>
      </w:pPr>
    </w:p>
    <w:tbl>
      <w:tblPr>
        <w:tblStyle w:val="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5"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heme="majorEastAsia" w:hAnsiTheme="majorEastAsia" w:eastAsiaTheme="majorEastAsia" w:cstheme="majorEastAsia"/>
                <w:kern w:val="0"/>
                <w:sz w:val="20"/>
                <w:szCs w:val="20"/>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hint="eastAsia" w:ascii="宋体" w:hAnsi="宋体" w:eastAsia="宋体" w:cs="宋体"/>
                <w:color w:val="000000"/>
                <w:kern w:val="0"/>
                <w:sz w:val="20"/>
                <w:szCs w:val="20"/>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0"/>
                <w:szCs w:val="20"/>
                <w:lang w:val="en-US" w:eastAsia="zh-CN"/>
              </w:rPr>
              <w:t>0</w:t>
            </w:r>
          </w:p>
        </w:tc>
      </w:tr>
    </w:tbl>
    <w:p>
      <w:pPr>
        <w:numPr>
          <w:ilvl w:val="0"/>
          <w:numId w:val="0"/>
        </w:numPr>
        <w:spacing w:line="560" w:lineRule="exact"/>
        <w:rPr>
          <w:rFonts w:hint="eastAsia" w:ascii="黑体" w:hAnsi="黑体" w:eastAsia="黑体" w:cs="黑体"/>
          <w:sz w:val="32"/>
          <w:szCs w:val="32"/>
        </w:rPr>
      </w:pPr>
    </w:p>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bl>
    <w:p>
      <w:pPr>
        <w:pStyle w:val="3"/>
        <w:numPr>
          <w:ilvl w:val="0"/>
          <w:numId w:val="0"/>
        </w:numPr>
        <w:ind w:leftChars="200"/>
        <w:rPr>
          <w:rFonts w:hint="eastAsia"/>
        </w:rPr>
      </w:pPr>
    </w:p>
    <w:p>
      <w:pPr>
        <w:pStyle w:val="3"/>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2"/>
        <w:spacing w:line="560" w:lineRule="exact"/>
        <w:ind w:left="0" w:leftChars="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2022年度，本局较好的完成了政府信息公开各项工作，但仍存在一些问题：</w:t>
      </w:r>
      <w:bookmarkStart w:id="0" w:name="_Hlk87973204"/>
      <w:r>
        <w:rPr>
          <w:rFonts w:hint="eastAsia" w:ascii="仿宋_GB2312" w:hAnsi="仿宋_GB2312" w:eastAsia="仿宋_GB2312" w:cs="仿宋_GB2312"/>
          <w:color w:val="000000"/>
          <w:sz w:val="32"/>
          <w:szCs w:val="32"/>
          <w:lang w:val="en-US" w:eastAsia="zh-CN"/>
        </w:rPr>
        <w:t>一是</w:t>
      </w:r>
      <w:r>
        <w:rPr>
          <w:rFonts w:hint="eastAsia" w:ascii="仿宋_GB2312" w:hAnsi="仿宋_GB2312" w:eastAsia="仿宋_GB2312" w:cs="仿宋_GB2312"/>
          <w:sz w:val="32"/>
          <w:szCs w:val="32"/>
        </w:rPr>
        <w:t>主动公开《政务公开全清单》内公开</w:t>
      </w:r>
      <w:r>
        <w:rPr>
          <w:rFonts w:hint="eastAsia" w:ascii="仿宋_GB2312" w:hAnsi="仿宋_GB2312" w:eastAsia="仿宋_GB2312" w:cs="仿宋_GB2312"/>
          <w:sz w:val="32"/>
          <w:szCs w:val="32"/>
          <w:lang w:eastAsia="zh-CN"/>
        </w:rPr>
        <w:t>的政府信息</w:t>
      </w:r>
      <w:r>
        <w:rPr>
          <w:rFonts w:hint="eastAsia" w:ascii="仿宋_GB2312" w:hAnsi="仿宋_GB2312" w:eastAsia="仿宋_GB2312" w:cs="仿宋_GB2312"/>
          <w:sz w:val="32"/>
          <w:szCs w:val="32"/>
        </w:rPr>
        <w:t>要素</w:t>
      </w:r>
      <w:r>
        <w:rPr>
          <w:rFonts w:hint="eastAsia" w:ascii="仿宋_GB2312" w:hAnsi="仿宋_GB2312" w:eastAsia="仿宋_GB2312" w:cs="仿宋_GB2312"/>
          <w:sz w:val="32"/>
          <w:szCs w:val="32"/>
          <w:lang w:eastAsia="zh-CN"/>
        </w:rPr>
        <w:t>不够</w:t>
      </w:r>
      <w:r>
        <w:rPr>
          <w:rFonts w:hint="eastAsia" w:ascii="仿宋_GB2312" w:hAnsi="仿宋_GB2312" w:eastAsia="仿宋_GB2312" w:cs="仿宋_GB2312"/>
          <w:sz w:val="32"/>
          <w:szCs w:val="32"/>
        </w:rPr>
        <w:t>齐全、更新</w:t>
      </w:r>
      <w:r>
        <w:rPr>
          <w:rFonts w:hint="eastAsia" w:ascii="仿宋_GB2312" w:hAnsi="仿宋_GB2312" w:eastAsia="仿宋_GB2312" w:cs="仿宋_GB2312"/>
          <w:sz w:val="32"/>
          <w:szCs w:val="32"/>
          <w:lang w:eastAsia="zh-CN"/>
        </w:rPr>
        <w:t>不够</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二是</w:t>
      </w:r>
      <w:bookmarkEnd w:id="0"/>
      <w:r>
        <w:rPr>
          <w:rFonts w:hint="eastAsia" w:ascii="仿宋_GB2312" w:hAnsi="仿宋_GB2312" w:eastAsia="仿宋_GB2312" w:cs="仿宋_GB2312"/>
          <w:sz w:val="32"/>
          <w:szCs w:val="32"/>
          <w:lang w:eastAsia="zh-CN"/>
        </w:rPr>
        <w:t>对外联系电话出现</w:t>
      </w:r>
      <w:r>
        <w:rPr>
          <w:rFonts w:hint="eastAsia" w:ascii="仿宋_GB2312" w:hAnsi="仿宋_GB2312" w:eastAsia="仿宋_GB2312" w:cs="仿宋_GB2312"/>
          <w:sz w:val="32"/>
          <w:szCs w:val="32"/>
          <w:lang w:val="en-US" w:eastAsia="zh-CN"/>
        </w:rPr>
        <w:t>首次未接通</w:t>
      </w:r>
      <w:r>
        <w:rPr>
          <w:rFonts w:hint="eastAsia" w:ascii="仿宋_GB2312" w:hAnsi="仿宋_GB2312" w:eastAsia="仿宋_GB2312" w:cs="仿宋_GB2312"/>
          <w:sz w:val="32"/>
          <w:szCs w:val="32"/>
          <w:lang w:eastAsia="zh-CN"/>
        </w:rPr>
        <w:t>情况。</w:t>
      </w:r>
    </w:p>
    <w:p>
      <w:pPr>
        <w:widowControl/>
        <w:spacing w:line="560" w:lineRule="exact"/>
        <w:ind w:firstLine="675"/>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根据政府信息公开中存在问题，结合工作实际，一是进一步</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《政务公开全清单》</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，做到</w:t>
      </w:r>
      <w:r>
        <w:rPr>
          <w:rFonts w:hint="eastAsia" w:ascii="仿宋_GB2312" w:hAnsi="仿宋_GB2312" w:eastAsia="仿宋_GB2312" w:cs="仿宋_GB2312"/>
          <w:sz w:val="32"/>
          <w:szCs w:val="32"/>
        </w:rPr>
        <w:t>要素齐全、公开及时</w:t>
      </w:r>
      <w:r>
        <w:rPr>
          <w:rFonts w:hint="eastAsia" w:ascii="仿宋_GB2312" w:hAnsi="仿宋_GB2312" w:eastAsia="仿宋_GB2312" w:cs="仿宋_GB2312"/>
          <w:sz w:val="32"/>
          <w:szCs w:val="32"/>
          <w:lang w:eastAsia="zh-CN"/>
        </w:rPr>
        <w:t>；二是做好对外连联系电话管理工作，</w:t>
      </w:r>
      <w:r>
        <w:rPr>
          <w:rFonts w:hint="eastAsia" w:ascii="仿宋_GB2312" w:hAnsi="仿宋_GB2312" w:eastAsia="仿宋_GB2312" w:cs="仿宋_GB2312"/>
          <w:color w:val="000000"/>
          <w:sz w:val="32"/>
          <w:szCs w:val="32"/>
        </w:rPr>
        <w:t>认真落实各项</w:t>
      </w:r>
      <w:r>
        <w:rPr>
          <w:rFonts w:hint="eastAsia" w:ascii="仿宋_GB2312" w:hAnsi="仿宋_GB2312" w:eastAsia="仿宋_GB2312" w:cs="仿宋_GB2312"/>
          <w:color w:val="000000"/>
          <w:sz w:val="32"/>
          <w:szCs w:val="32"/>
          <w:lang w:eastAsia="zh-CN"/>
        </w:rPr>
        <w:t>管理</w:t>
      </w:r>
      <w:bookmarkStart w:id="1" w:name="_GoBack"/>
      <w:bookmarkEnd w:id="1"/>
      <w:r>
        <w:rPr>
          <w:rFonts w:hint="eastAsia" w:ascii="仿宋_GB2312" w:hAnsi="仿宋_GB2312" w:eastAsia="仿宋_GB2312" w:cs="仿宋_GB2312"/>
          <w:color w:val="000000"/>
          <w:sz w:val="32"/>
          <w:szCs w:val="32"/>
        </w:rPr>
        <w:t>要求，</w:t>
      </w:r>
      <w:r>
        <w:rPr>
          <w:rFonts w:hint="eastAsia" w:ascii="仿宋_GB2312" w:hAnsi="仿宋_GB2312" w:eastAsia="仿宋_GB2312" w:cs="仿宋_GB2312"/>
          <w:color w:val="000000"/>
          <w:sz w:val="32"/>
          <w:szCs w:val="32"/>
          <w:lang w:eastAsia="zh-CN"/>
        </w:rPr>
        <w:t>做好电话接听工作，</w:t>
      </w:r>
      <w:r>
        <w:rPr>
          <w:rFonts w:hint="eastAsia" w:ascii="仿宋_GB2312" w:hAnsi="仿宋_GB2312" w:eastAsia="仿宋_GB2312" w:cs="仿宋_GB2312"/>
          <w:color w:val="000000"/>
          <w:sz w:val="32"/>
          <w:szCs w:val="32"/>
        </w:rPr>
        <w:t>对非本单位职责范围的来电咨询，告知相应咨询单位及联系方式</w:t>
      </w:r>
      <w:r>
        <w:rPr>
          <w:rFonts w:hint="eastAsia" w:ascii="仿宋_GB2312" w:hAnsi="仿宋_GB2312" w:eastAsia="仿宋_GB2312" w:cs="仿宋_GB2312"/>
          <w:color w:val="000000"/>
          <w:sz w:val="32"/>
          <w:szCs w:val="32"/>
          <w:lang w:eastAsia="zh-CN"/>
        </w:rPr>
        <w:t>。</w:t>
      </w:r>
    </w:p>
    <w:p>
      <w:pPr>
        <w:widowControl/>
        <w:spacing w:line="560" w:lineRule="exact"/>
        <w:ind w:firstLine="672" w:firstLineChars="200"/>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firstLineChars="200"/>
        <w:jc w:val="left"/>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我单位本年度发出收费通知的件数和总金额以及实际收取的总金额均为0。</w:t>
      </w:r>
    </w:p>
    <w:p>
      <w:pPr>
        <w:widowControl/>
        <w:spacing w:line="560" w:lineRule="exact"/>
        <w:jc w:val="left"/>
        <w:rPr>
          <w:rFonts w:hint="eastAsia" w:ascii="仿宋_GB2312" w:hAnsi="宋体" w:eastAsia="仿宋_GB2312" w:cs="宋体"/>
          <w:color w:val="9BC2E6"/>
          <w:spacing w:val="8"/>
          <w:kern w:val="0"/>
          <w:sz w:val="32"/>
          <w:szCs w:val="32"/>
        </w:rPr>
      </w:pPr>
    </w:p>
    <w:p>
      <w:pPr>
        <w:pStyle w:val="3"/>
        <w:spacing w:line="560" w:lineRule="exact"/>
      </w:pPr>
      <w:r>
        <w:rPr>
          <w:rFonts w:hint="eastAsia" w:ascii="微软雅黑" w:hAnsi="微软雅黑" w:eastAsia="微软雅黑" w:cs="宋体"/>
          <w:color w:val="404040"/>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C5C77"/>
    <w:rsid w:val="15841D0B"/>
    <w:rsid w:val="1A604585"/>
    <w:rsid w:val="1DCC1F7B"/>
    <w:rsid w:val="20C5743F"/>
    <w:rsid w:val="21F20193"/>
    <w:rsid w:val="25801827"/>
    <w:rsid w:val="2CED454E"/>
    <w:rsid w:val="2F9E1926"/>
    <w:rsid w:val="3592228B"/>
    <w:rsid w:val="38223E1E"/>
    <w:rsid w:val="38EC36B5"/>
    <w:rsid w:val="3E1C5C77"/>
    <w:rsid w:val="48793FF8"/>
    <w:rsid w:val="4EA15360"/>
    <w:rsid w:val="536809BB"/>
    <w:rsid w:val="5A6B4490"/>
    <w:rsid w:val="5E501842"/>
    <w:rsid w:val="62BF39D3"/>
    <w:rsid w:val="7DA0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styleId="3">
    <w:name w:val="Plain Text"/>
    <w:basedOn w:val="1"/>
    <w:qFormat/>
    <w:uiPriority w:val="0"/>
    <w:rPr>
      <w:rFonts w:ascii="宋体" w:hAnsi="Courier New"/>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rFonts w:hint="eastAsia" w:ascii="微软雅黑" w:hAnsi="微软雅黑" w:eastAsia="微软雅黑" w:cs="微软雅黑"/>
      <w:b/>
    </w:rPr>
  </w:style>
  <w:style w:type="character" w:styleId="8">
    <w:name w:val="FollowedHyperlink"/>
    <w:basedOn w:val="6"/>
    <w:qFormat/>
    <w:uiPriority w:val="0"/>
    <w:rPr>
      <w:rFonts w:hint="eastAsia" w:ascii="微软雅黑" w:hAnsi="微软雅黑" w:eastAsia="微软雅黑" w:cs="微软雅黑"/>
      <w:color w:val="333333"/>
      <w:u w:val="none"/>
    </w:rPr>
  </w:style>
  <w:style w:type="character" w:styleId="9">
    <w:name w:val="Emphasis"/>
    <w:basedOn w:val="6"/>
    <w:qFormat/>
    <w:uiPriority w:val="0"/>
    <w:rPr>
      <w:rFonts w:hint="eastAsia" w:ascii="微软雅黑" w:hAnsi="微软雅黑" w:eastAsia="微软雅黑" w:cs="微软雅黑"/>
      <w:i/>
    </w:rPr>
  </w:style>
  <w:style w:type="character" w:styleId="10">
    <w:name w:val="Hyperlink"/>
    <w:basedOn w:val="6"/>
    <w:qFormat/>
    <w:uiPriority w:val="0"/>
    <w:rPr>
      <w:rFonts w:hint="eastAsia" w:ascii="微软雅黑" w:hAnsi="微软雅黑" w:eastAsia="微软雅黑" w:cs="微软雅黑"/>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2023-01-04T06:55:00Z</dcterms:created>
  <dc:creator>王浩</dc:creator>
  <cp:lastModifiedBy>shen</cp:lastModifiedBy>
  <dcterms:modified xsi:type="dcterms:W3CDTF">2023-01-13T06:28:16Z</dcterms:modified>
  <dc:title>北京市大兴区文化和旅游局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