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w w:val="100"/>
          <w:sz w:val="44"/>
          <w:szCs w:val="44"/>
          <w:highlight w:val="none"/>
          <w:lang w:eastAsia="zh-CN"/>
        </w:rPr>
      </w:pPr>
      <w:r>
        <w:rPr>
          <w:rFonts w:hint="eastAsia" w:ascii="方正小标宋简体" w:hAnsi="方正小标宋简体" w:eastAsia="方正小标宋简体" w:cs="方正小标宋简体"/>
          <w:color w:val="auto"/>
          <w:w w:val="100"/>
          <w:sz w:val="44"/>
          <w:szCs w:val="44"/>
          <w:highlight w:val="none"/>
          <w:lang w:eastAsia="zh-CN"/>
        </w:rPr>
        <w:t>北京市大兴区医疗保障局</w:t>
      </w:r>
    </w:p>
    <w:p>
      <w:pPr>
        <w:keepNext w:val="0"/>
        <w:keepLines w:val="0"/>
        <w:pageBreakBefore w:val="0"/>
        <w:kinsoku/>
        <w:wordWrap/>
        <w:overflowPunct/>
        <w:topLinePunct w:val="0"/>
        <w:autoSpaceDE/>
        <w:autoSpaceDN/>
        <w:bidi w:val="0"/>
        <w:adjustRightInd/>
        <w:snapToGrid/>
        <w:spacing w:line="580" w:lineRule="exact"/>
        <w:jc w:val="center"/>
        <w:textAlignment w:val="auto"/>
        <w:rPr>
          <w:color w:val="auto"/>
          <w:sz w:val="44"/>
          <w:szCs w:val="44"/>
        </w:rPr>
      </w:pPr>
      <w:r>
        <w:rPr>
          <w:rFonts w:hint="eastAsia" w:ascii="方正小标宋简体" w:hAnsi="方正小标宋简体" w:eastAsia="方正小标宋简体" w:cs="方正小标宋简体"/>
          <w:color w:val="auto"/>
          <w:w w:val="100"/>
          <w:sz w:val="44"/>
          <w:szCs w:val="44"/>
          <w:highlight w:val="none"/>
        </w:rPr>
        <w:t>202</w:t>
      </w:r>
      <w:r>
        <w:rPr>
          <w:rFonts w:hint="eastAsia" w:ascii="方正小标宋简体" w:hAnsi="方正小标宋简体" w:eastAsia="方正小标宋简体" w:cs="方正小标宋简体"/>
          <w:color w:val="auto"/>
          <w:w w:val="100"/>
          <w:sz w:val="44"/>
          <w:szCs w:val="44"/>
          <w:highlight w:val="none"/>
          <w:lang w:val="en-US" w:eastAsia="zh-CN"/>
        </w:rPr>
        <w:t>2</w:t>
      </w:r>
      <w:r>
        <w:rPr>
          <w:rFonts w:hint="eastAsia" w:ascii="方正小标宋简体" w:hAnsi="方正小标宋简体" w:eastAsia="方正小标宋简体" w:cs="方正小标宋简体"/>
          <w:color w:val="auto"/>
          <w:w w:val="100"/>
          <w:sz w:val="44"/>
          <w:szCs w:val="44"/>
          <w:highlight w:val="none"/>
        </w:rPr>
        <w:t>年政府信息公开工作年度报告</w:t>
      </w:r>
      <w:bookmarkStart w:id="0" w:name="_GoBack"/>
      <w:bookmarkEnd w:id="0"/>
      <w:r>
        <w:rPr>
          <w:rFonts w:hint="eastAsia" w:ascii="微软雅黑" w:hAnsi="微软雅黑" w:eastAsia="微软雅黑" w:cs="宋体"/>
          <w:color w:val="auto"/>
          <w:kern w:val="0"/>
          <w:sz w:val="24"/>
          <w:highlight w:val="none"/>
        </w:rPr>
        <w:t>　</w:t>
      </w:r>
      <w:r>
        <w:rPr>
          <w:rFonts w:hint="eastAsia" w:ascii="微软雅黑" w:hAnsi="微软雅黑" w:eastAsia="微软雅黑" w:cs="宋体"/>
          <w:color w:val="auto"/>
          <w:kern w:val="0"/>
          <w:sz w:val="32"/>
          <w:szCs w:val="32"/>
          <w:highlight w:val="none"/>
        </w:rPr>
        <w:t xml:space="preserve"> </w:t>
      </w:r>
      <w:r>
        <w:rPr>
          <w:rFonts w:ascii="微软雅黑" w:hAnsi="微软雅黑" w:eastAsia="微软雅黑" w:cs="宋体"/>
          <w:color w:val="auto"/>
          <w:kern w:val="0"/>
          <w:sz w:val="32"/>
          <w:szCs w:val="32"/>
          <w:highlight w:val="none"/>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72" w:firstLineChars="200"/>
        <w:jc w:val="both"/>
        <w:textAlignment w:val="auto"/>
        <w:rPr>
          <w:rFonts w:hint="eastAsia" w:ascii="仿宋_GB2312" w:hAnsi="宋体" w:eastAsia="仿宋_GB2312" w:cs="宋体"/>
          <w:color w:val="auto"/>
          <w:spacing w:val="8"/>
          <w:kern w:val="0"/>
          <w:sz w:val="32"/>
          <w:szCs w:val="32"/>
        </w:rPr>
      </w:pPr>
      <w:r>
        <w:rPr>
          <w:rFonts w:hint="eastAsia" w:ascii="仿宋_GB2312" w:hAnsi="宋体" w:eastAsia="仿宋_GB2312" w:cs="宋体"/>
          <w:color w:val="auto"/>
          <w:spacing w:val="8"/>
          <w:kern w:val="0"/>
          <w:sz w:val="32"/>
          <w:szCs w:val="32"/>
        </w:rPr>
        <w:t>依据《中华人民共和国政府信息公开条例》(以下简称《政府信息公开条例》)第五十条规定，编制本报告。</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firstLine="672" w:firstLineChars="200"/>
        <w:jc w:val="both"/>
        <w:textAlignment w:val="auto"/>
        <w:rPr>
          <w:rFonts w:ascii="黑体" w:hAnsi="黑体" w:eastAsia="黑体" w:cs="宋体"/>
          <w:color w:val="auto"/>
          <w:spacing w:val="8"/>
          <w:kern w:val="0"/>
          <w:sz w:val="32"/>
          <w:szCs w:val="32"/>
        </w:rPr>
      </w:pPr>
      <w:r>
        <w:rPr>
          <w:rFonts w:ascii="黑体" w:hAnsi="黑体" w:eastAsia="黑体" w:cs="宋体"/>
          <w:color w:val="auto"/>
          <w:spacing w:val="8"/>
          <w:kern w:val="0"/>
          <w:sz w:val="32"/>
          <w:szCs w:val="32"/>
        </w:rPr>
        <w:t>总体情况</w:t>
      </w:r>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（一）组织领导</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outlineLvl w:val="1"/>
        <w:rPr>
          <w:rFonts w:hint="eastAsia" w:ascii="仿宋_GB2312" w:hAnsi="仿宋_GB2312" w:eastAsia="仿宋_GB2312" w:cs="仿宋_GB2312"/>
          <w:b w:val="0"/>
          <w:bCs w:val="0"/>
          <w:color w:val="auto"/>
          <w:kern w:val="0"/>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val="en-US" w:eastAsia="zh-CN" w:bidi="ar-SA"/>
        </w:rPr>
        <w:t>2022年，区医保局高度重视信息公开工作，严格落实《政府信息公开条例》规定，完善主要领导对信息公开工作负总责，分管领导负主责，局办公室具体负责的领导机制。医保局办公室为负责信息公开的责任科室，统筹协调机关信息公开工作。本年共召开4次专题会，通过培训学习进一步提升医疗保障领域网上履职能力和服务水平。</w:t>
      </w:r>
    </w:p>
    <w:p>
      <w:pPr>
        <w:keepNext w:val="0"/>
        <w:keepLines w:val="0"/>
        <w:pageBreakBefore w:val="0"/>
        <w:widowControl/>
        <w:kinsoku/>
        <w:wordWrap/>
        <w:overflowPunct/>
        <w:topLinePunct w:val="0"/>
        <w:autoSpaceDE/>
        <w:autoSpaceDN/>
        <w:bidi w:val="0"/>
        <w:adjustRightInd/>
        <w:snapToGrid/>
        <w:spacing w:line="580" w:lineRule="exact"/>
        <w:ind w:firstLine="672" w:firstLineChars="200"/>
        <w:textAlignment w:val="auto"/>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（二）主动公开</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textAlignment w:val="auto"/>
        <w:outlineLvl w:val="1"/>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lang w:bidi="ar-SA"/>
        </w:rPr>
        <w:t>按照《</w:t>
      </w:r>
      <w:r>
        <w:rPr>
          <w:rFonts w:hint="eastAsia" w:ascii="仿宋_GB2312" w:hAnsi="仿宋_GB2312" w:eastAsia="仿宋_GB2312" w:cs="仿宋_GB2312"/>
          <w:b w:val="0"/>
          <w:bCs w:val="0"/>
          <w:color w:val="auto"/>
          <w:kern w:val="0"/>
          <w:sz w:val="32"/>
          <w:szCs w:val="32"/>
          <w:highlight w:val="none"/>
          <w:lang w:eastAsia="zh-CN" w:bidi="ar-SA"/>
        </w:rPr>
        <w:t>政府信息公开</w:t>
      </w:r>
      <w:r>
        <w:rPr>
          <w:rFonts w:hint="eastAsia" w:ascii="仿宋_GB2312" w:hAnsi="仿宋_GB2312" w:eastAsia="仿宋_GB2312" w:cs="仿宋_GB2312"/>
          <w:b w:val="0"/>
          <w:bCs w:val="0"/>
          <w:color w:val="auto"/>
          <w:kern w:val="0"/>
          <w:sz w:val="32"/>
          <w:szCs w:val="32"/>
          <w:highlight w:val="none"/>
          <w:lang w:bidi="ar-SA"/>
        </w:rPr>
        <w:t>条例》规定的主动公开政府信息范围，开展本单位政府信息主动公开工作。</w:t>
      </w:r>
      <w:r>
        <w:rPr>
          <w:rFonts w:hint="eastAsia" w:ascii="仿宋_GB2312" w:hAnsi="仿宋_GB2312" w:eastAsia="仿宋_GB2312" w:cs="仿宋_GB2312"/>
          <w:b w:val="0"/>
          <w:bCs w:val="0"/>
          <w:color w:val="auto"/>
          <w:kern w:val="0"/>
          <w:sz w:val="32"/>
          <w:szCs w:val="32"/>
          <w:highlight w:val="none"/>
          <w:lang w:eastAsia="zh-CN" w:bidi="ar-SA"/>
        </w:rPr>
        <w:t>定期</w:t>
      </w:r>
      <w:r>
        <w:rPr>
          <w:rFonts w:hint="eastAsia" w:ascii="仿宋_GB2312" w:hAnsi="仿宋_GB2312" w:eastAsia="仿宋_GB2312" w:cs="仿宋_GB2312"/>
          <w:b w:val="0"/>
          <w:bCs w:val="0"/>
          <w:color w:val="auto"/>
          <w:kern w:val="2"/>
          <w:sz w:val="32"/>
          <w:szCs w:val="32"/>
          <w:highlight w:val="none"/>
          <w:lang w:val="en-US" w:eastAsia="zh-CN" w:bidi="ar-SA"/>
        </w:rPr>
        <w:t>对照本单位《政务公开全清单》内容事项、要素，开展自查工作，确保</w:t>
      </w:r>
      <w:r>
        <w:rPr>
          <w:rFonts w:hint="eastAsia" w:ascii="仿宋_GB2312" w:hAnsi="仿宋_GB2312" w:eastAsia="仿宋_GB2312" w:cs="仿宋_GB2312"/>
          <w:b w:val="0"/>
          <w:bCs w:val="0"/>
          <w:color w:val="auto"/>
          <w:sz w:val="32"/>
          <w:szCs w:val="32"/>
          <w:highlight w:val="none"/>
        </w:rPr>
        <w:t>公开的信息要素齐全、公开及时</w:t>
      </w:r>
      <w:r>
        <w:rPr>
          <w:rFonts w:hint="eastAsia" w:ascii="仿宋_GB2312" w:hAnsi="仿宋_GB2312" w:eastAsia="仿宋_GB2312" w:cs="仿宋_GB2312"/>
          <w:b w:val="0"/>
          <w:bCs w:val="0"/>
          <w:color w:val="auto"/>
          <w:kern w:val="2"/>
          <w:sz w:val="32"/>
          <w:szCs w:val="32"/>
          <w:highlight w:val="none"/>
          <w:lang w:val="en-US" w:eastAsia="zh-CN" w:bidi="ar-SA"/>
        </w:rPr>
        <w:t>规范。2022年</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bidi="ar-SA"/>
        </w:rPr>
        <w:t>大兴区医疗保障局通过</w:t>
      </w:r>
      <w:r>
        <w:rPr>
          <w:rFonts w:hint="eastAsia" w:ascii="仿宋_GB2312" w:hAnsi="仿宋_GB2312" w:eastAsia="仿宋_GB2312" w:cs="仿宋_GB2312"/>
          <w:b w:val="0"/>
          <w:bCs w:val="0"/>
          <w:color w:val="auto"/>
          <w:sz w:val="32"/>
          <w:szCs w:val="32"/>
        </w:rPr>
        <w:t>政府网站、微信公众号“大兴医保中心”和新闻报道等</w:t>
      </w:r>
      <w:r>
        <w:rPr>
          <w:rFonts w:hint="eastAsia" w:ascii="仿宋_GB2312" w:hAnsi="仿宋_GB2312" w:eastAsia="仿宋_GB2312" w:cs="仿宋_GB2312"/>
          <w:b w:val="0"/>
          <w:bCs w:val="0"/>
          <w:color w:val="auto"/>
          <w:sz w:val="32"/>
          <w:szCs w:val="32"/>
          <w:lang w:eastAsia="zh-CN"/>
        </w:rPr>
        <w:t>渠道，</w:t>
      </w:r>
      <w:r>
        <w:rPr>
          <w:rFonts w:hint="eastAsia" w:ascii="仿宋_GB2312" w:hAnsi="仿宋_GB2312" w:eastAsia="仿宋_GB2312" w:cs="仿宋_GB2312"/>
          <w:b w:val="0"/>
          <w:bCs w:val="0"/>
          <w:color w:val="auto"/>
          <w:sz w:val="32"/>
          <w:szCs w:val="32"/>
        </w:rPr>
        <w:t>公开业务办理指南、医保政策解读、工作动态</w:t>
      </w:r>
      <w:r>
        <w:rPr>
          <w:rFonts w:hint="eastAsia" w:ascii="仿宋_GB2312" w:hAnsi="仿宋_GB2312" w:eastAsia="仿宋_GB2312" w:cs="仿宋_GB2312"/>
          <w:b w:val="0"/>
          <w:bCs w:val="0"/>
          <w:color w:val="auto"/>
          <w:sz w:val="32"/>
          <w:szCs w:val="32"/>
          <w:lang w:eastAsia="zh-CN"/>
        </w:rPr>
        <w:t>等</w:t>
      </w:r>
      <w:r>
        <w:rPr>
          <w:rFonts w:hint="eastAsia" w:ascii="仿宋_GB2312" w:hAnsi="仿宋_GB2312" w:eastAsia="仿宋_GB2312" w:cs="仿宋_GB2312"/>
          <w:b w:val="0"/>
          <w:bCs w:val="0"/>
          <w:i w:val="0"/>
          <w:caps w:val="0"/>
          <w:color w:val="auto"/>
          <w:spacing w:val="0"/>
          <w:kern w:val="0"/>
          <w:sz w:val="32"/>
          <w:szCs w:val="32"/>
          <w:highlight w:val="none"/>
          <w:shd w:val="clear" w:color="auto" w:fill="auto"/>
          <w:lang w:val="en-US" w:eastAsia="zh-CN" w:bidi="ar-SA"/>
        </w:rPr>
        <w:t>政府信息287条。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（三）依申请公开</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宋体" w:eastAsia="仿宋_GB2312" w:cs="宋体"/>
          <w:color w:val="auto"/>
          <w:spacing w:val="8"/>
          <w:kern w:val="0"/>
          <w:sz w:val="32"/>
          <w:szCs w:val="32"/>
          <w:lang w:eastAsia="zh-CN"/>
        </w:rPr>
      </w:pPr>
      <w:r>
        <w:rPr>
          <w:rFonts w:hint="eastAsia" w:ascii="仿宋_GB2312" w:hAnsi="仿宋_GB2312" w:eastAsia="仿宋_GB2312" w:cs="仿宋_GB2312"/>
          <w:color w:val="auto"/>
          <w:kern w:val="0"/>
          <w:sz w:val="32"/>
          <w:szCs w:val="32"/>
        </w:rPr>
        <w:t>自《</w:t>
      </w:r>
      <w:r>
        <w:rPr>
          <w:rFonts w:hint="eastAsia" w:ascii="仿宋_GB2312" w:hAnsi="仿宋_GB2312" w:eastAsia="仿宋_GB2312" w:cs="仿宋_GB2312"/>
          <w:color w:val="auto"/>
          <w:kern w:val="0"/>
          <w:sz w:val="32"/>
          <w:szCs w:val="32"/>
          <w:lang w:eastAsia="zh-CN"/>
        </w:rPr>
        <w:t>政府信息公开</w:t>
      </w:r>
      <w:r>
        <w:rPr>
          <w:rFonts w:hint="eastAsia" w:ascii="仿宋_GB2312" w:hAnsi="仿宋_GB2312" w:eastAsia="仿宋_GB2312" w:cs="仿宋_GB2312"/>
          <w:color w:val="auto"/>
          <w:kern w:val="0"/>
          <w:sz w:val="32"/>
          <w:szCs w:val="32"/>
        </w:rPr>
        <w:t>条例》实施之日起正式受理</w:t>
      </w:r>
      <w:r>
        <w:rPr>
          <w:rFonts w:hint="eastAsia" w:ascii="仿宋_GB2312" w:hAnsi="仿宋_GB2312" w:eastAsia="仿宋_GB2312" w:cs="仿宋_GB2312"/>
          <w:color w:val="auto"/>
          <w:sz w:val="32"/>
          <w:szCs w:val="32"/>
        </w:rPr>
        <w:t>公民、法人或者其他组织根据自身生产、生活、科研等特殊需要提出的政府信息公开申请。</w:t>
      </w:r>
      <w:r>
        <w:rPr>
          <w:rFonts w:hint="eastAsia" w:ascii="仿宋_GB2312" w:hAnsi="仿宋_GB2312" w:eastAsia="仿宋_GB2312" w:cs="仿宋_GB2312"/>
          <w:color w:val="auto"/>
          <w:sz w:val="32"/>
          <w:szCs w:val="32"/>
          <w:highlight w:val="none"/>
          <w:lang w:eastAsia="zh-CN"/>
        </w:rPr>
        <w:t>我局</w:t>
      </w:r>
      <w:r>
        <w:rPr>
          <w:rFonts w:hint="eastAsia" w:ascii="仿宋_GB2312" w:hAnsi="仿宋_GB2312" w:eastAsia="仿宋_GB2312" w:cs="仿宋_GB2312"/>
          <w:color w:val="auto"/>
          <w:kern w:val="0"/>
          <w:sz w:val="32"/>
          <w:szCs w:val="32"/>
          <w:highlight w:val="none"/>
          <w:lang w:val="en-US" w:eastAsia="zh-CN"/>
        </w:rPr>
        <w:t>2022</w:t>
      </w:r>
      <w:r>
        <w:rPr>
          <w:rFonts w:hint="eastAsia" w:ascii="仿宋_GB2312" w:hAnsi="仿宋_GB2312" w:eastAsia="仿宋_GB2312" w:cs="仿宋_GB2312"/>
          <w:color w:val="auto"/>
          <w:kern w:val="0"/>
          <w:sz w:val="32"/>
          <w:szCs w:val="32"/>
          <w:highlight w:val="none"/>
        </w:rPr>
        <w:t>年度收到</w:t>
      </w:r>
      <w:r>
        <w:rPr>
          <w:rFonts w:hint="eastAsia" w:ascii="仿宋_GB2312" w:hAnsi="仿宋_GB2312" w:eastAsia="仿宋_GB2312" w:cs="仿宋_GB2312"/>
          <w:color w:val="auto"/>
          <w:kern w:val="0"/>
          <w:sz w:val="32"/>
          <w:szCs w:val="32"/>
          <w:highlight w:val="none"/>
          <w:lang w:val="en-US" w:eastAsia="zh-CN"/>
        </w:rPr>
        <w:t>1件</w:t>
      </w:r>
      <w:r>
        <w:rPr>
          <w:rFonts w:hint="eastAsia" w:ascii="仿宋_GB2312" w:hAnsi="仿宋_GB2312" w:eastAsia="仿宋_GB2312" w:cs="仿宋_GB2312"/>
          <w:color w:val="auto"/>
          <w:kern w:val="0"/>
          <w:sz w:val="32"/>
          <w:szCs w:val="32"/>
          <w:highlight w:val="none"/>
        </w:rPr>
        <w:t>政府信息公开申请</w:t>
      </w:r>
      <w:r>
        <w:rPr>
          <w:rFonts w:hint="eastAsia" w:ascii="仿宋_GB2312" w:hAnsi="仿宋_GB2312" w:eastAsia="仿宋_GB2312" w:cs="仿宋_GB2312"/>
          <w:color w:val="auto"/>
          <w:kern w:val="0"/>
          <w:sz w:val="32"/>
          <w:szCs w:val="32"/>
          <w:highlight w:val="none"/>
          <w:lang w:eastAsia="zh-CN"/>
        </w:rPr>
        <w:t>，因申请公开的信息不是本机关已制作或者获取的政府信息，需要本机关对现有政府信息进行加工、分析，根据《政府信息公开条例》第三十八条的规定，不予公开</w:t>
      </w:r>
      <w:r>
        <w:rPr>
          <w:rFonts w:hint="eastAsia" w:ascii="仿宋_GB2312" w:hAnsi="仿宋_GB2312" w:eastAsia="仿宋_GB2312" w:cs="仿宋_GB2312"/>
          <w:color w:val="auto"/>
          <w:kern w:val="0"/>
          <w:sz w:val="32"/>
          <w:szCs w:val="32"/>
        </w:rPr>
        <w:t>。20</w:t>
      </w:r>
      <w:r>
        <w:rPr>
          <w:rFonts w:hint="eastAsia" w:ascii="仿宋_GB2312" w:hAnsi="仿宋_GB2312" w:eastAsia="仿宋_GB2312" w:cs="仿宋_GB2312"/>
          <w:color w:val="auto"/>
          <w:kern w:val="0"/>
          <w:sz w:val="32"/>
          <w:szCs w:val="32"/>
          <w:lang w:val="en-US" w:eastAsia="zh-CN"/>
        </w:rPr>
        <w:t>22</w:t>
      </w:r>
      <w:r>
        <w:rPr>
          <w:rFonts w:hint="eastAsia" w:ascii="仿宋_GB2312" w:hAnsi="仿宋_GB2312" w:eastAsia="仿宋_GB2312" w:cs="仿宋_GB2312"/>
          <w:color w:val="auto"/>
          <w:kern w:val="0"/>
          <w:sz w:val="32"/>
          <w:szCs w:val="32"/>
        </w:rPr>
        <w:t>年，未发生针对大兴区</w:t>
      </w:r>
      <w:r>
        <w:rPr>
          <w:rFonts w:hint="eastAsia" w:ascii="仿宋_GB2312" w:hAnsi="仿宋_GB2312" w:eastAsia="仿宋_GB2312" w:cs="仿宋_GB2312"/>
          <w:color w:val="auto"/>
          <w:kern w:val="0"/>
          <w:sz w:val="32"/>
          <w:szCs w:val="32"/>
          <w:lang w:eastAsia="zh-CN"/>
        </w:rPr>
        <w:t>医保</w:t>
      </w:r>
      <w:r>
        <w:rPr>
          <w:rFonts w:hint="eastAsia" w:ascii="仿宋_GB2312" w:hAnsi="仿宋_GB2312" w:eastAsia="仿宋_GB2312" w:cs="仿宋_GB2312"/>
          <w:color w:val="auto"/>
          <w:kern w:val="0"/>
          <w:sz w:val="32"/>
          <w:szCs w:val="32"/>
        </w:rPr>
        <w:t>局政府信息公开的行政复议及行政诉讼情况。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（四）政府信息管理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75" w:firstLineChars="200"/>
        <w:jc w:val="both"/>
        <w:textAlignment w:val="auto"/>
        <w:outlineLvl w:val="9"/>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pacing w:val="8"/>
          <w:kern w:val="0"/>
          <w:sz w:val="32"/>
          <w:szCs w:val="32"/>
          <w:lang w:val="en-US" w:eastAsia="zh-CN" w:bidi="ar-SA"/>
        </w:rPr>
        <w:t>一是</w:t>
      </w:r>
      <w:r>
        <w:rPr>
          <w:rFonts w:hint="eastAsia" w:ascii="仿宋_GB2312" w:hAnsi="仿宋_GB2312" w:eastAsia="仿宋_GB2312" w:cs="仿宋_GB2312"/>
          <w:color w:val="auto"/>
          <w:spacing w:val="8"/>
          <w:kern w:val="0"/>
          <w:sz w:val="32"/>
          <w:szCs w:val="32"/>
          <w:lang w:val="en-US" w:eastAsia="zh-CN" w:bidi="ar-SA"/>
        </w:rPr>
        <w:t>编制《大兴区医疗保障局政府信息公开指南》。对政府信息公开范围、公开时限、依申请公开申请方式、答复时限等作出明确规定；二是制定《大兴区医疗保障局信息公开管理办法》，拟发布的信息</w:t>
      </w:r>
      <w:r>
        <w:rPr>
          <w:rFonts w:hint="eastAsia" w:ascii="仿宋_GB2312" w:hAnsi="仿宋_GB2312" w:eastAsia="仿宋_GB2312" w:cs="仿宋_GB2312"/>
          <w:color w:val="auto"/>
          <w:kern w:val="0"/>
          <w:sz w:val="32"/>
          <w:szCs w:val="32"/>
          <w:lang w:eastAsia="zh-CN"/>
        </w:rPr>
        <w:t>须经</w:t>
      </w:r>
      <w:r>
        <w:rPr>
          <w:rFonts w:hint="eastAsia" w:ascii="仿宋_GB2312" w:hAnsi="仿宋_GB2312" w:eastAsia="仿宋_GB2312" w:cs="仿宋_GB2312"/>
          <w:color w:val="auto"/>
          <w:kern w:val="0"/>
          <w:sz w:val="32"/>
          <w:szCs w:val="32"/>
        </w:rPr>
        <w:t>业务主管领导审批，负责保密工作主管领导保密审查，由信息发布管理员发布对应平台，未经保密审查的信息不允许发布；</w:t>
      </w:r>
      <w:r>
        <w:rPr>
          <w:rFonts w:hint="eastAsia" w:ascii="仿宋_GB2312" w:hAnsi="仿宋_GB2312" w:eastAsia="仿宋_GB2312" w:cs="仿宋_GB2312"/>
          <w:b/>
          <w:bCs/>
          <w:color w:val="auto"/>
          <w:kern w:val="0"/>
          <w:sz w:val="32"/>
          <w:szCs w:val="32"/>
        </w:rPr>
        <w:t>三是</w:t>
      </w:r>
      <w:r>
        <w:rPr>
          <w:rFonts w:hint="eastAsia" w:ascii="仿宋_GB2312" w:hAnsi="仿宋_GB2312" w:eastAsia="仿宋_GB2312" w:cs="仿宋_GB2312"/>
          <w:color w:val="auto"/>
          <w:kern w:val="0"/>
          <w:sz w:val="32"/>
          <w:szCs w:val="32"/>
          <w:lang w:eastAsia="zh-CN"/>
        </w:rPr>
        <w:t>积极</w:t>
      </w:r>
      <w:r>
        <w:rPr>
          <w:rFonts w:hint="eastAsia" w:ascii="仿宋_GB2312" w:hAnsi="仿宋_GB2312" w:eastAsia="仿宋_GB2312" w:cs="仿宋_GB2312"/>
          <w:color w:val="auto"/>
          <w:kern w:val="0"/>
          <w:sz w:val="32"/>
          <w:szCs w:val="32"/>
        </w:rPr>
        <w:t>主动与市、区两级政府信息公开部门沟通，进一步建立健全工作机制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严格按照法定时限及时发布并实时更新主动公开内容。</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（五）平台建设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2022年，大兴区医保局依托“大兴医保中心”微信公众号，建立大兴医保“心”服务微平台，为企业群众提供业务指南查询、业务表格下载、医保查询、智能客服等服务，不断提升医保服务信息化、智能化水平。通过微信公众号大力宣传医保政策及工作动态，打造大兴医保官方新媒体宣传阵地。目前，“大兴医保中心”公众号共有用户4.83万人，每周推送群发消息一次。在宣传形式上融入图文、视频等群众喜闻乐见的元素，多篇信息被区融媒体及镇街新媒体发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（六）教育培训</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firstLine="672" w:firstLineChars="200"/>
        <w:textAlignment w:val="auto"/>
        <w:outlineLvl w:val="1"/>
        <w:rPr>
          <w:rFonts w:hint="eastAsia" w:ascii="仿宋_GB2312" w:hAnsi="仿宋_GB2312" w:eastAsia="仿宋_GB2312" w:cs="仿宋_GB2312"/>
          <w:color w:val="auto"/>
          <w:spacing w:val="8"/>
          <w:kern w:val="0"/>
          <w:sz w:val="32"/>
          <w:szCs w:val="32"/>
          <w:lang w:val="en-US" w:eastAsia="zh-CN"/>
        </w:rPr>
      </w:pPr>
      <w:r>
        <w:rPr>
          <w:rFonts w:hint="eastAsia" w:ascii="仿宋_GB2312" w:hAnsi="仿宋_GB2312" w:eastAsia="仿宋_GB2312" w:cs="仿宋_GB2312"/>
          <w:color w:val="auto"/>
          <w:spacing w:val="8"/>
          <w:kern w:val="0"/>
          <w:sz w:val="32"/>
          <w:szCs w:val="32"/>
          <w:lang w:val="en-US" w:eastAsia="zh-CN"/>
        </w:rPr>
        <w:t>为切实加强政府信息公开教育培训工作，我局积极参加区内组织的政务公开绩效考核指标解读、政府网站和政务新媒体检查指标培训等集中学习；通过召开会议、发放学习材料等方式，组织相关人员学习政务公开要点，增强各部门政府信息公开意识，提高</w:t>
      </w:r>
      <w:r>
        <w:rPr>
          <w:rFonts w:hint="eastAsia" w:ascii="仿宋_GB2312" w:hAnsi="仿宋_GB2312" w:eastAsia="仿宋_GB2312" w:cs="仿宋_GB2312"/>
          <w:b w:val="0"/>
          <w:bCs w:val="0"/>
          <w:color w:val="auto"/>
          <w:kern w:val="0"/>
          <w:sz w:val="32"/>
          <w:szCs w:val="32"/>
          <w:highlight w:val="none"/>
          <w:lang w:val="en-US" w:eastAsia="zh-CN" w:bidi="ar-SA"/>
        </w:rPr>
        <w:t>网上履职能力和服务水平。通过有方向、有重点的教育培训，</w:t>
      </w:r>
      <w:r>
        <w:rPr>
          <w:rFonts w:hint="eastAsia" w:ascii="仿宋_GB2312" w:hAnsi="仿宋_GB2312" w:eastAsia="仿宋_GB2312" w:cs="仿宋_GB2312"/>
          <w:color w:val="auto"/>
          <w:spacing w:val="8"/>
          <w:kern w:val="0"/>
          <w:sz w:val="32"/>
          <w:szCs w:val="32"/>
          <w:lang w:val="en-US" w:eastAsia="zh-CN"/>
        </w:rPr>
        <w:t>为我局政府信息公开工作顺利开展提供了有力保障。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楷体_GB2312" w:hAnsi="楷体_GB2312" w:eastAsia="楷体_GB2312" w:cs="楷体_GB2312"/>
          <w:color w:val="auto"/>
          <w:spacing w:val="8"/>
          <w:kern w:val="0"/>
          <w:sz w:val="32"/>
          <w:szCs w:val="32"/>
          <w:lang w:eastAsia="zh-CN"/>
        </w:rPr>
      </w:pPr>
      <w:r>
        <w:rPr>
          <w:rFonts w:hint="eastAsia" w:ascii="楷体_GB2312" w:hAnsi="楷体_GB2312" w:eastAsia="楷体_GB2312" w:cs="楷体_GB2312"/>
          <w:color w:val="auto"/>
          <w:spacing w:val="8"/>
          <w:kern w:val="0"/>
          <w:sz w:val="32"/>
          <w:szCs w:val="32"/>
          <w:lang w:eastAsia="zh-CN"/>
        </w:rPr>
        <w:t>（七）监督保障</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80" w:lineRule="exact"/>
        <w:ind w:left="0" w:leftChars="0" w:right="0" w:rightChars="0" w:firstLine="672" w:firstLineChars="200"/>
        <w:jc w:val="both"/>
        <w:textAlignment w:val="auto"/>
        <w:outlineLvl w:val="9"/>
        <w:rPr>
          <w:rFonts w:hint="eastAsia" w:ascii="仿宋_GB2312" w:hAnsi="宋体" w:eastAsia="仿宋_GB2312" w:cs="宋体"/>
          <w:color w:val="auto"/>
          <w:spacing w:val="8"/>
          <w:kern w:val="0"/>
          <w:sz w:val="32"/>
          <w:szCs w:val="32"/>
          <w:lang w:val="en-US" w:eastAsia="zh-CN"/>
        </w:rPr>
      </w:pPr>
      <w:r>
        <w:rPr>
          <w:rFonts w:hint="eastAsia" w:ascii="仿宋_GB2312" w:hAnsi="宋体" w:eastAsia="仿宋_GB2312" w:cs="宋体"/>
          <w:color w:val="auto"/>
          <w:spacing w:val="8"/>
          <w:kern w:val="0"/>
          <w:sz w:val="32"/>
          <w:szCs w:val="32"/>
          <w:lang w:val="en-US" w:eastAsia="zh-CN"/>
        </w:rPr>
        <w:t>根据政府信息公开要求及第三方评估结果，持续规范工作流程，不断完善栏目信息内容，强化内部监督管理力度，提高政府信息公开整体工作水平。</w:t>
      </w:r>
    </w:p>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宋体"/>
          <w:color w:val="auto"/>
          <w:spacing w:val="8"/>
          <w:kern w:val="0"/>
          <w:sz w:val="32"/>
          <w:szCs w:val="32"/>
          <w:lang w:eastAsia="zh-CN"/>
        </w:rPr>
      </w:pPr>
      <w:r>
        <w:rPr>
          <w:rFonts w:hint="eastAsia" w:ascii="黑体" w:hAnsi="黑体" w:eastAsia="黑体" w:cs="宋体"/>
          <w:color w:val="auto"/>
          <w:spacing w:val="8"/>
          <w:kern w:val="0"/>
          <w:sz w:val="32"/>
          <w:szCs w:val="32"/>
          <w:lang w:eastAsia="zh-CN"/>
        </w:rPr>
        <w:t>二、主动公开政府信息情况</w:t>
      </w:r>
    </w:p>
    <w:tbl>
      <w:tblPr>
        <w:tblStyle w:val="7"/>
        <w:tblpPr w:leftFromText="180" w:rightFromText="180" w:vertAnchor="text" w:horzAnchor="page" w:tblpX="1274" w:tblpY="265"/>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lang w:val="en-US"/>
              </w:rPr>
            </w:pPr>
            <w:r>
              <w:rPr>
                <w:rFonts w:hint="eastAsia" w:ascii="宋体" w:hAnsi="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1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color w:val="auto"/>
                <w:sz w:val="24"/>
                <w:szCs w:val="24"/>
                <w:lang w:val="en-US" w:eastAsia="zh-CN"/>
              </w:rPr>
            </w:pPr>
            <w:r>
              <w:rPr>
                <w:rFonts w:hint="eastAsia" w:ascii="宋体"/>
                <w:color w:val="auto"/>
                <w:sz w:val="24"/>
                <w:szCs w:val="24"/>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72" w:firstLineChars="200"/>
        <w:jc w:val="both"/>
        <w:textAlignment w:val="auto"/>
        <w:rPr>
          <w:rFonts w:hint="eastAsia" w:ascii="黑体" w:hAnsi="黑体" w:eastAsia="黑体" w:cs="宋体"/>
          <w:color w:val="auto"/>
          <w:spacing w:val="8"/>
          <w:kern w:val="0"/>
          <w:sz w:val="32"/>
          <w:szCs w:val="32"/>
          <w:lang w:eastAsia="zh-CN"/>
        </w:rPr>
      </w:pPr>
      <w:r>
        <w:rPr>
          <w:rFonts w:hint="eastAsia" w:ascii="黑体" w:hAnsi="黑体" w:eastAsia="黑体" w:cs="宋体"/>
          <w:color w:val="auto"/>
          <w:spacing w:val="8"/>
          <w:kern w:val="0"/>
          <w:sz w:val="32"/>
          <w:szCs w:val="32"/>
          <w:lang w:eastAsia="zh-CN"/>
        </w:rPr>
        <w:t>三、收到和处理政府信息公开申请情况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auto"/>
          <w:spacing w:val="0"/>
          <w:sz w:val="24"/>
          <w:szCs w:val="24"/>
        </w:rPr>
      </w:pPr>
    </w:p>
    <w:tbl>
      <w:tblPr>
        <w:tblStyle w:val="7"/>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ascii="楷体" w:hAnsi="楷体" w:eastAsia="楷体" w:cs="楷体"/>
                <w:color w:val="auto"/>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color w:val="auto"/>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color w:val="auto"/>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color w:val="auto"/>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ascii="Calibri" w:hAnsi="Calibri"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ascii="Calibri" w:hAnsi="Calibri"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ascii="Calibri" w:hAnsi="Calibri" w:cs="Calibri"/>
                <w:color w:val="auto"/>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ascii="Calibri" w:hAnsi="Calibri" w:cs="Calibri"/>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eastAsia="zh-CN"/>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（二）部分公开</w:t>
            </w:r>
            <w:r>
              <w:rPr>
                <w:rFonts w:hint="default" w:ascii="楷体" w:hAnsi="楷体" w:eastAsia="楷体" w:cs="楷体"/>
                <w:color w:val="auto"/>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color w:val="auto"/>
                <w:sz w:val="20"/>
                <w:szCs w:val="20"/>
                <w:lang w:val="en-US" w:eastAsia="zh-CN"/>
              </w:rPr>
            </w:pPr>
            <w:r>
              <w:rPr>
                <w:rFonts w:hint="eastAsia"/>
                <w:color w:val="auto"/>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7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96"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auto"/>
              </w:rPr>
            </w:pPr>
            <w:r>
              <w:rPr>
                <w:rFonts w:hint="eastAsia" w:ascii="宋体" w:hAnsi="宋体" w:eastAsia="宋体" w:cs="宋体"/>
                <w:color w:val="auto"/>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color w:val="auto"/>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color w:val="auto"/>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ascii="Calibri" w:hAnsi="Calibri" w:cs="Calibri"/>
                <w:color w:val="auto"/>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z w:val="20"/>
                <w:szCs w:val="20"/>
              </w:rPr>
            </w:pPr>
            <w:r>
              <w:rPr>
                <w:rFonts w:hint="eastAsia"/>
                <w:color w:val="auto"/>
                <w:sz w:val="20"/>
                <w:szCs w:val="20"/>
                <w:lang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auto"/>
                <w:sz w:val="20"/>
                <w:szCs w:val="20"/>
                <w:lang w:val="en-US"/>
              </w:rPr>
            </w:pPr>
            <w:r>
              <w:rPr>
                <w:rFonts w:hint="eastAsia" w:ascii="Calibri" w:hAnsi="Calibri" w:cs="Calibri"/>
                <w:color w:val="auto"/>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olor w:val="auto"/>
                <w:sz w:val="20"/>
                <w:szCs w:val="20"/>
                <w:lang w:val="en-US" w:eastAsia="zh-CN"/>
              </w:rPr>
            </w:pPr>
            <w:r>
              <w:rPr>
                <w:rFonts w:hint="eastAsia" w:ascii="宋体"/>
                <w:color w:val="auto"/>
                <w:sz w:val="20"/>
                <w:szCs w:val="20"/>
                <w:lang w:val="en-US" w:eastAsia="zh-CN"/>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0"/>
                <w:szCs w:val="20"/>
              </w:rPr>
            </w:pPr>
            <w:r>
              <w:rPr>
                <w:rFonts w:hint="eastAsia"/>
                <w:color w:val="auto"/>
                <w:sz w:val="20"/>
                <w:szCs w:val="20"/>
                <w:lang w:eastAsia="zh-CN"/>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0"/>
                <w:szCs w:val="20"/>
              </w:rPr>
            </w:pPr>
            <w:r>
              <w:rPr>
                <w:rFonts w:hint="eastAsia"/>
                <w:color w:val="auto"/>
                <w:sz w:val="20"/>
                <w:szCs w:val="20"/>
                <w:lang w:eastAsia="zh-CN"/>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0"/>
                <w:szCs w:val="20"/>
              </w:rPr>
            </w:pPr>
            <w:r>
              <w:rPr>
                <w:rFonts w:hint="eastAsia"/>
                <w:color w:val="auto"/>
                <w:sz w:val="20"/>
                <w:szCs w:val="20"/>
                <w:lang w:eastAsia="zh-CN"/>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0"/>
                <w:szCs w:val="20"/>
              </w:rPr>
            </w:pPr>
            <w:r>
              <w:rPr>
                <w:rFonts w:hint="eastAsia"/>
                <w:color w:val="auto"/>
                <w:sz w:val="20"/>
                <w:szCs w:val="20"/>
                <w:lang w:eastAsia="zh-CN"/>
              </w:rPr>
              <w:t>0</w:t>
            </w:r>
          </w:p>
        </w:tc>
        <w:tc>
          <w:tcPr>
            <w:tcW w:w="688" w:type="dxa"/>
            <w:tcBorders>
              <w:top w:val="outset" w:color="auto" w:sz="6" w:space="0"/>
              <w:left w:val="nil"/>
              <w:bottom w:val="outset" w:color="auto" w:sz="6" w:space="0"/>
              <w:right w:val="outset" w:color="auto" w:sz="6"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auto"/>
                <w:sz w:val="20"/>
                <w:szCs w:val="20"/>
              </w:rPr>
            </w:pPr>
            <w:r>
              <w:rPr>
                <w:rFonts w:hint="eastAsia"/>
                <w:color w:val="auto"/>
                <w:sz w:val="20"/>
                <w:szCs w:val="20"/>
                <w:lang w:eastAsia="zh-CN"/>
              </w:rPr>
              <w:t>0</w:t>
            </w:r>
          </w:p>
        </w:tc>
        <w:tc>
          <w:tcPr>
            <w:tcW w:w="689" w:type="dxa"/>
            <w:tcBorders>
              <w:top w:val="outset" w:color="auto" w:sz="6" w:space="0"/>
              <w:left w:val="nil"/>
              <w:bottom w:val="outset" w:color="auto" w:sz="6" w:space="0"/>
              <w:right w:val="outset" w:color="auto" w:sz="6" w:space="0"/>
            </w:tcBorders>
            <w:noWrap w:val="0"/>
            <w:vAlign w:val="center"/>
          </w:tcPr>
          <w:p>
            <w:pPr>
              <w:jc w:val="center"/>
              <w:rPr>
                <w:rFonts w:hint="eastAsia" w:ascii="宋体" w:eastAsia="宋体"/>
                <w:color w:val="auto"/>
                <w:sz w:val="20"/>
                <w:szCs w:val="20"/>
                <w:lang w:val="en-US" w:eastAsia="zh-CN"/>
              </w:rPr>
            </w:pPr>
            <w:r>
              <w:rPr>
                <w:rFonts w:hint="eastAsia" w:ascii="宋体"/>
                <w:color w:val="auto"/>
                <w:sz w:val="20"/>
                <w:szCs w:val="20"/>
                <w:lang w:val="en-US" w:eastAsia="zh-CN"/>
              </w:rPr>
              <w:t>0</w:t>
            </w:r>
          </w:p>
        </w:tc>
      </w:tr>
    </w:tbl>
    <w:p>
      <w:pPr>
        <w:pStyle w:val="3"/>
        <w:numPr>
          <w:ilvl w:val="0"/>
          <w:numId w:val="0"/>
        </w:numPr>
        <w:ind w:leftChars="200"/>
        <w:rPr>
          <w:rFonts w:hint="eastAsia"/>
          <w:color w:val="auto"/>
        </w:rPr>
      </w:pP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72" w:firstLineChars="200"/>
        <w:jc w:val="both"/>
        <w:textAlignment w:val="auto"/>
        <w:rPr>
          <w:rFonts w:hint="eastAsia" w:ascii="黑体" w:hAnsi="黑体" w:eastAsia="黑体" w:cs="宋体"/>
          <w:color w:val="auto"/>
          <w:spacing w:val="8"/>
          <w:kern w:val="0"/>
          <w:sz w:val="32"/>
          <w:szCs w:val="32"/>
          <w:lang w:eastAsia="zh-CN"/>
        </w:rPr>
      </w:pPr>
      <w:r>
        <w:rPr>
          <w:rFonts w:hint="eastAsia" w:ascii="黑体" w:hAnsi="黑体" w:eastAsia="黑体" w:cs="宋体"/>
          <w:color w:val="auto"/>
          <w:spacing w:val="8"/>
          <w:kern w:val="0"/>
          <w:sz w:val="32"/>
          <w:szCs w:val="32"/>
          <w:lang w:eastAsia="zh-CN"/>
        </w:rPr>
        <w:t>四、政府信息公开行政复议、行政诉讼情况</w:t>
      </w:r>
    </w:p>
    <w:tbl>
      <w:tblPr>
        <w:tblStyle w:val="7"/>
        <w:tblpPr w:leftFromText="180" w:rightFromText="180" w:vertAnchor="text" w:horzAnchor="page" w:tblpX="1235" w:tblpY="657"/>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color w:val="auto"/>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color w:val="auto"/>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textAlignment w:val="auto"/>
              <w:rPr>
                <w:rFonts w:hint="eastAsia" w:ascii="宋体"/>
                <w:color w:val="auto"/>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宋体" w:hAnsi="宋体" w:eastAsia="宋体" w:cs="宋体"/>
                <w:color w:val="auto"/>
                <w:kern w:val="0"/>
                <w:sz w:val="20"/>
                <w:szCs w:val="20"/>
                <w:lang w:val="en-US" w:eastAsia="zh-CN" w:bidi="ar"/>
              </w:rPr>
            </w:pPr>
            <w:r>
              <w:rPr>
                <w:rFonts w:hint="eastAsia" w:ascii="宋体" w:hAnsi="宋体" w:eastAsia="宋体" w:cs="宋体"/>
                <w:color w:val="auto"/>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color w:val="auto"/>
              </w:rPr>
            </w:pPr>
            <w:r>
              <w:rPr>
                <w:rFonts w:hint="eastAsia" w:ascii="宋体" w:hAnsi="宋体" w:eastAsia="宋体" w:cs="宋体"/>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lang w:val="en-US"/>
              </w:rPr>
            </w:pPr>
            <w:r>
              <w:rPr>
                <w:rFonts w:hint="eastAsia" w:ascii="仿宋_GB2312" w:hAnsi="仿宋_GB2312" w:eastAsia="仿宋_GB2312" w:cs="仿宋_GB2312"/>
                <w:color w:val="auto"/>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0"/>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Chars="0"/>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0</w:t>
            </w:r>
          </w:p>
        </w:tc>
      </w:tr>
    </w:tbl>
    <w:p>
      <w:pPr>
        <w:keepNext w:val="0"/>
        <w:keepLines w:val="0"/>
        <w:widowControl/>
        <w:suppressLineNumbers w:val="0"/>
        <w:jc w:val="left"/>
        <w:rPr>
          <w:color w:val="auto"/>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72" w:firstLineChars="200"/>
        <w:jc w:val="both"/>
        <w:textAlignment w:val="auto"/>
        <w:rPr>
          <w:rFonts w:hint="eastAsia" w:ascii="黑体" w:hAnsi="黑体" w:eastAsia="黑体" w:cs="宋体"/>
          <w:color w:val="auto"/>
          <w:spacing w:val="8"/>
          <w:kern w:val="0"/>
          <w:sz w:val="32"/>
          <w:szCs w:val="32"/>
          <w:lang w:eastAsia="zh-CN"/>
        </w:rPr>
      </w:pPr>
      <w:r>
        <w:rPr>
          <w:rFonts w:hint="eastAsia" w:ascii="黑体" w:hAnsi="黑体" w:eastAsia="黑体" w:cs="宋体"/>
          <w:color w:val="auto"/>
          <w:spacing w:val="8"/>
          <w:kern w:val="0"/>
          <w:sz w:val="32"/>
          <w:szCs w:val="32"/>
          <w:lang w:eastAsia="zh-CN"/>
        </w:rPr>
        <w:t>五、存在的主要问题及改进情况</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333333"/>
          <w:sz w:val="32"/>
          <w:szCs w:val="32"/>
        </w:rPr>
        <w:t>（一）存在问题：</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both"/>
        <w:textAlignment w:val="auto"/>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t>2022年，我单位政府信息公开工作取得了一定成效，但仍存在着一些不足。主要表现为：</w:t>
      </w:r>
      <w:r>
        <w:rPr>
          <w:rFonts w:hint="eastAsia" w:ascii="仿宋_GB2312" w:hAnsi="仿宋_GB2312" w:eastAsia="仿宋_GB2312" w:cs="仿宋_GB2312"/>
          <w:b/>
          <w:bCs/>
          <w:color w:val="000000" w:themeColor="text1"/>
          <w:spacing w:val="8"/>
          <w:kern w:val="0"/>
          <w:sz w:val="32"/>
          <w:szCs w:val="32"/>
          <w:lang w:val="en-US" w:eastAsia="zh-CN" w:bidi="ar-SA"/>
          <w14:textFill>
            <w14:solidFill>
              <w14:schemeClr w14:val="tx1"/>
            </w14:solidFill>
          </w14:textFill>
        </w:rPr>
        <w:t>一是</w:t>
      </w:r>
      <w:r>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t>作为民生保障部门，政务公开的内容形式比较单一，群众接受度受限；</w:t>
      </w:r>
      <w:r>
        <w:rPr>
          <w:rFonts w:hint="eastAsia" w:ascii="仿宋_GB2312" w:hAnsi="仿宋_GB2312" w:eastAsia="仿宋_GB2312" w:cs="仿宋_GB2312"/>
          <w:b/>
          <w:bCs/>
          <w:color w:val="000000" w:themeColor="text1"/>
          <w:spacing w:val="8"/>
          <w:kern w:val="0"/>
          <w:sz w:val="32"/>
          <w:szCs w:val="32"/>
          <w:lang w:val="en-US" w:eastAsia="zh-CN" w:bidi="ar-SA"/>
          <w14:textFill>
            <w14:solidFill>
              <w14:schemeClr w14:val="tx1"/>
            </w14:solidFill>
          </w14:textFill>
        </w:rPr>
        <w:t>二是</w:t>
      </w:r>
      <w:r>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t>工作人员业务能力仍需提升，对政府信息公开工作本领仍需加强。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楷体_GB2312" w:eastAsia="楷体_GB2312" w:cs="楷体_GB2312"/>
          <w:color w:val="333333"/>
          <w:sz w:val="32"/>
          <w:szCs w:val="32"/>
        </w:rPr>
      </w:pPr>
      <w:r>
        <w:rPr>
          <w:rFonts w:hint="eastAsia" w:ascii="楷体_GB2312" w:hAnsi="楷体_GB2312" w:eastAsia="楷体_GB2312" w:cs="楷体_GB2312"/>
          <w:color w:val="333333"/>
          <w:sz w:val="32"/>
          <w:szCs w:val="32"/>
        </w:rPr>
        <w:t>（二）改进措施：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5" w:firstLineChars="200"/>
        <w:jc w:val="both"/>
        <w:textAlignment w:val="auto"/>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8"/>
          <w:kern w:val="0"/>
          <w:sz w:val="32"/>
          <w:szCs w:val="32"/>
          <w:lang w:val="en-US" w:eastAsia="zh-CN" w:bidi="ar-SA"/>
          <w14:textFill>
            <w14:solidFill>
              <w14:schemeClr w14:val="tx1"/>
            </w14:solidFill>
          </w14:textFill>
        </w:rPr>
        <w:t>一是</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按照相关工作要求，做好政务新媒体的运维管理，用群众喜闻乐见的形式，讲好医保故事，及时发布信息</w:t>
      </w:r>
      <w:r>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spacing w:val="8"/>
          <w:kern w:val="0"/>
          <w:sz w:val="32"/>
          <w:szCs w:val="32"/>
          <w:lang w:val="en-US" w:eastAsia="zh-CN" w:bidi="ar-SA"/>
          <w14:textFill>
            <w14:solidFill>
              <w14:schemeClr w14:val="tx1"/>
            </w14:solidFill>
          </w14:textFill>
        </w:rPr>
        <w:t>二是</w:t>
      </w:r>
      <w:r>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t>积极开展相关业务培训，全面提升医保队伍的依法行政能力和素养。</w:t>
      </w:r>
    </w:p>
    <w:p>
      <w:pPr>
        <w:keepNext w:val="0"/>
        <w:keepLines w:val="0"/>
        <w:pageBreakBefore w:val="0"/>
        <w:widowControl/>
        <w:kinsoku/>
        <w:wordWrap/>
        <w:overflowPunct/>
        <w:topLinePunct w:val="0"/>
        <w:autoSpaceDE/>
        <w:autoSpaceDN/>
        <w:bidi w:val="0"/>
        <w:adjustRightInd/>
        <w:snapToGrid/>
        <w:spacing w:beforeAutospacing="0" w:afterAutospacing="0" w:line="500" w:lineRule="exact"/>
        <w:ind w:firstLine="672" w:firstLineChars="200"/>
        <w:jc w:val="both"/>
        <w:textAlignment w:val="auto"/>
        <w:rPr>
          <w:rFonts w:ascii="宋体" w:hAnsi="宋体" w:cs="宋体"/>
          <w:color w:val="auto"/>
          <w:spacing w:val="8"/>
          <w:kern w:val="0"/>
          <w:sz w:val="32"/>
          <w:szCs w:val="32"/>
        </w:rPr>
      </w:pPr>
      <w:r>
        <w:rPr>
          <w:rFonts w:ascii="黑体" w:hAnsi="黑体" w:eastAsia="黑体" w:cs="宋体"/>
          <w:color w:val="auto"/>
          <w:spacing w:val="8"/>
          <w:kern w:val="0"/>
          <w:sz w:val="32"/>
          <w:szCs w:val="32"/>
        </w:rPr>
        <w:t>六、其他需要报告的事项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72" w:firstLineChars="200"/>
        <w:jc w:val="both"/>
        <w:textAlignment w:val="auto"/>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8"/>
          <w:kern w:val="0"/>
          <w:sz w:val="32"/>
          <w:szCs w:val="32"/>
          <w:lang w:val="en-US" w:eastAsia="zh-CN" w:bidi="ar-SA"/>
          <w14:textFill>
            <w14:solidFill>
              <w14:schemeClr w14:val="tx1"/>
            </w14:solidFill>
          </w14:textFill>
        </w:rPr>
        <w:t>我局本年度发出收费通知的件数和总金额以及实际收取的总金额均为0。</w:t>
      </w:r>
    </w:p>
    <w:p>
      <w:pPr>
        <w:rPr>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F1224"/>
    <w:multiLevelType w:val="singleLevel"/>
    <w:tmpl w:val="D7FF122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jMTg3ODZjMmVlMGM0MDY0MGFmMjkxY2QxY2I2YjAifQ=="/>
  </w:docVars>
  <w:rsids>
    <w:rsidRoot w:val="00000000"/>
    <w:rsid w:val="07866B35"/>
    <w:rsid w:val="15AB07CB"/>
    <w:rsid w:val="16A377C0"/>
    <w:rsid w:val="19544B38"/>
    <w:rsid w:val="1EFA59E6"/>
    <w:rsid w:val="21FC77BC"/>
    <w:rsid w:val="27553C40"/>
    <w:rsid w:val="2EB400F6"/>
    <w:rsid w:val="2F7E1D1C"/>
    <w:rsid w:val="305E1101"/>
    <w:rsid w:val="32596D71"/>
    <w:rsid w:val="37B345BA"/>
    <w:rsid w:val="3E573E64"/>
    <w:rsid w:val="44043E2E"/>
    <w:rsid w:val="462D3D8F"/>
    <w:rsid w:val="4A4C0E65"/>
    <w:rsid w:val="50BE6DE5"/>
    <w:rsid w:val="53956485"/>
    <w:rsid w:val="54040192"/>
    <w:rsid w:val="56925F29"/>
    <w:rsid w:val="5898534D"/>
    <w:rsid w:val="612F2D52"/>
    <w:rsid w:val="658811DA"/>
    <w:rsid w:val="6B091A1D"/>
    <w:rsid w:val="6B2B5629"/>
    <w:rsid w:val="6BEC7A32"/>
    <w:rsid w:val="72E100E7"/>
    <w:rsid w:val="78407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Times New Roman" w:hAnsi="Times New Roman" w:eastAsia="宋体" w:cs="Times New Roman"/>
      <w:szCs w:val="20"/>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rFonts w:ascii="微软雅黑" w:hAnsi="微软雅黑" w:eastAsia="微软雅黑" w:cs="微软雅黑"/>
      <w:b/>
    </w:rPr>
  </w:style>
  <w:style w:type="character" w:styleId="10">
    <w:name w:val="FollowedHyperlink"/>
    <w:basedOn w:val="8"/>
    <w:qFormat/>
    <w:uiPriority w:val="0"/>
    <w:rPr>
      <w:rFonts w:hint="eastAsia" w:ascii="微软雅黑" w:hAnsi="微软雅黑" w:eastAsia="微软雅黑" w:cs="微软雅黑"/>
      <w:color w:val="333333"/>
      <w:u w:val="none"/>
    </w:rPr>
  </w:style>
  <w:style w:type="character" w:styleId="11">
    <w:name w:val="Emphasis"/>
    <w:basedOn w:val="8"/>
    <w:qFormat/>
    <w:uiPriority w:val="0"/>
    <w:rPr>
      <w:rFonts w:hint="eastAsia" w:ascii="微软雅黑" w:hAnsi="微软雅黑" w:eastAsia="微软雅黑" w:cs="微软雅黑"/>
      <w:i/>
    </w:rPr>
  </w:style>
  <w:style w:type="character" w:styleId="12">
    <w:name w:val="Hyperlink"/>
    <w:basedOn w:val="8"/>
    <w:qFormat/>
    <w:uiPriority w:val="0"/>
    <w:rPr>
      <w:rFonts w:hint="eastAsia" w:ascii="微软雅黑" w:hAnsi="微软雅黑" w:eastAsia="微软雅黑" w:cs="微软雅黑"/>
      <w:color w:val="333333"/>
      <w:u w:val="none"/>
    </w:rPr>
  </w:style>
  <w:style w:type="character" w:customStyle="1" w:styleId="13">
    <w:name w:val="hover26"/>
    <w:basedOn w:val="8"/>
    <w:qFormat/>
    <w:uiPriority w:val="0"/>
    <w:rPr>
      <w:color w:val="5FB878"/>
    </w:rPr>
  </w:style>
  <w:style w:type="character" w:customStyle="1" w:styleId="14">
    <w:name w:val="hover27"/>
    <w:basedOn w:val="8"/>
    <w:qFormat/>
    <w:uiPriority w:val="0"/>
    <w:rPr>
      <w:u w:val="none"/>
    </w:rPr>
  </w:style>
  <w:style w:type="character" w:customStyle="1" w:styleId="15">
    <w:name w:val="hover28"/>
    <w:basedOn w:val="8"/>
    <w:qFormat/>
    <w:uiPriority w:val="0"/>
    <w:rPr>
      <w:color w:val="5FB878"/>
    </w:rPr>
  </w:style>
  <w:style w:type="character" w:customStyle="1" w:styleId="16">
    <w:name w:val="hover29"/>
    <w:basedOn w:val="8"/>
    <w:qFormat/>
    <w:uiPriority w:val="0"/>
    <w:rPr>
      <w:color w:val="FFFFFF"/>
    </w:rPr>
  </w:style>
  <w:style w:type="character" w:customStyle="1" w:styleId="17">
    <w:name w:val="sx"/>
    <w:basedOn w:val="8"/>
    <w:qFormat/>
    <w:uiPriority w:val="0"/>
    <w:rPr>
      <w:vanish/>
    </w:rPr>
  </w:style>
  <w:style w:type="character" w:customStyle="1" w:styleId="18">
    <w:name w:val="cur"/>
    <w:basedOn w:val="8"/>
    <w:qFormat/>
    <w:uiPriority w:val="0"/>
  </w:style>
  <w:style w:type="character" w:customStyle="1" w:styleId="19">
    <w:name w:val="cur1"/>
    <w:basedOn w:val="8"/>
    <w:qFormat/>
    <w:uiPriority w:val="0"/>
  </w:style>
  <w:style w:type="character" w:customStyle="1" w:styleId="20">
    <w:name w:val="layui-this2"/>
    <w:basedOn w:val="8"/>
    <w:qFormat/>
    <w:uiPriority w:val="0"/>
    <w:rPr>
      <w:bdr w:val="single" w:color="EEEEEE" w:sz="6" w:space="0"/>
      <w:shd w:val="clear" w:fill="FFFFFF"/>
    </w:rPr>
  </w:style>
  <w:style w:type="character" w:customStyle="1" w:styleId="21">
    <w:name w:val="first-child"/>
    <w:basedOn w:val="8"/>
    <w:qFormat/>
    <w:uiPriority w:val="0"/>
  </w:style>
  <w:style w:type="character" w:customStyle="1" w:styleId="22">
    <w:name w:val="layui-this"/>
    <w:basedOn w:val="8"/>
    <w:qFormat/>
    <w:uiPriority w:val="0"/>
    <w:rPr>
      <w:bdr w:val="single" w:color="EEEEEE" w:sz="6" w:space="0"/>
      <w:shd w:val="clear"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2333</Words>
  <Characters>2369</Characters>
  <Lines>0</Lines>
  <Paragraphs>0</Paragraphs>
  <TotalTime>14</TotalTime>
  <ScaleCrop>false</ScaleCrop>
  <LinksUpToDate>false</LinksUpToDate>
  <CharactersWithSpaces>2372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2023-01-09T08:36:00Z</dcterms:created>
  <dc:creator>user</dc:creator>
  <cp:lastModifiedBy>shen</cp:lastModifiedBy>
  <dcterms:modified xsi:type="dcterms:W3CDTF">2023-01-13T05:36:58Z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93966DE0586B41DFA787FB9EC72B736B</vt:lpwstr>
  </property>
</Properties>
</file>