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北京市大兴区财政局</w:t>
      </w:r>
    </w:p>
    <w:p>
      <w:pPr>
        <w:spacing w:line="560" w:lineRule="exact"/>
        <w:jc w:val="center"/>
        <w:rPr>
          <w:rFonts w:ascii="Times New Roman" w:hAnsi="Times New Roman" w:eastAsia="宋体" w:cs="Times New Roman"/>
          <w:sz w:val="44"/>
          <w:szCs w:val="44"/>
        </w:rPr>
      </w:pPr>
      <w:r>
        <w:rPr>
          <w:rFonts w:hint="eastAsia" w:ascii="方正小标宋简体" w:hAnsi="方正小标宋简体" w:eastAsia="方正小标宋简体" w:cs="方正小标宋简体"/>
          <w:sz w:val="44"/>
          <w:szCs w:val="44"/>
        </w:rPr>
        <w:t>2023年政府信息公开工作年度报告</w:t>
      </w: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p>
    <w:p>
      <w:pPr>
        <w:widowControl/>
        <w:spacing w:line="560" w:lineRule="exact"/>
        <w:jc w:val="left"/>
        <w:rPr>
          <w:rFonts w:hint="eastAsia" w:ascii="微软雅黑" w:hAnsi="微软雅黑" w:eastAsia="微软雅黑" w:cs="宋体"/>
          <w:color w:val="404040"/>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黑体" w:hAnsi="宋体" w:eastAsia="黑体" w:cs="宋体"/>
          <w:spacing w:val="8"/>
          <w:kern w:val="0"/>
          <w:sz w:val="32"/>
          <w:szCs w:val="32"/>
        </w:rPr>
        <w:t>一、总体情况</w:t>
      </w:r>
    </w:p>
    <w:p>
      <w:pPr>
        <w:widowControl/>
        <w:spacing w:line="560" w:lineRule="exact"/>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 xml:space="preserve">    </w:t>
      </w:r>
      <w:r>
        <w:rPr>
          <w:rFonts w:hint="eastAsia" w:ascii="仿宋_GB2312" w:hAnsi="宋体" w:eastAsia="仿宋_GB2312" w:cs="宋体"/>
          <w:spacing w:val="8"/>
          <w:kern w:val="0"/>
          <w:sz w:val="32"/>
          <w:szCs w:val="32"/>
          <w:lang w:eastAsia="zh-CN"/>
        </w:rPr>
        <w:t>区财政局严格落实《</w:t>
      </w:r>
      <w:r>
        <w:rPr>
          <w:rFonts w:hint="eastAsia" w:ascii="仿宋_GB2312" w:hAnsi="宋体" w:eastAsia="仿宋_GB2312" w:cs="宋体"/>
          <w:spacing w:val="8"/>
          <w:kern w:val="0"/>
          <w:sz w:val="32"/>
          <w:szCs w:val="32"/>
        </w:rPr>
        <w:t>政府信息公开条例</w:t>
      </w:r>
      <w:r>
        <w:rPr>
          <w:rFonts w:hint="eastAsia" w:ascii="仿宋_GB2312" w:hAnsi="宋体" w:eastAsia="仿宋_GB2312" w:cs="宋体"/>
          <w:spacing w:val="8"/>
          <w:kern w:val="0"/>
          <w:sz w:val="32"/>
          <w:szCs w:val="32"/>
          <w:lang w:eastAsia="zh-CN"/>
        </w:rPr>
        <w:t>》要求，围绕《北京市大兴区</w:t>
      </w:r>
      <w:r>
        <w:rPr>
          <w:rFonts w:hint="eastAsia" w:ascii="仿宋_GB2312" w:hAnsi="宋体" w:eastAsia="仿宋_GB2312" w:cs="宋体"/>
          <w:spacing w:val="8"/>
          <w:kern w:val="0"/>
          <w:sz w:val="32"/>
          <w:szCs w:val="32"/>
          <w:lang w:val="en-US" w:eastAsia="zh-CN"/>
        </w:rPr>
        <w:t>2023年政务公开工作要点</w:t>
      </w:r>
      <w:r>
        <w:rPr>
          <w:rFonts w:hint="eastAsia" w:ascii="仿宋_GB2312" w:hAnsi="宋体" w:eastAsia="仿宋_GB2312" w:cs="宋体"/>
          <w:spacing w:val="8"/>
          <w:kern w:val="0"/>
          <w:sz w:val="32"/>
          <w:szCs w:val="32"/>
          <w:lang w:eastAsia="zh-CN"/>
        </w:rPr>
        <w:t>》开展一系列深化政府信息公开工作，</w:t>
      </w:r>
      <w:bookmarkStart w:id="0" w:name="_GoBack"/>
      <w:bookmarkEnd w:id="0"/>
      <w:r>
        <w:rPr>
          <w:rFonts w:hint="eastAsia" w:ascii="仿宋_GB2312" w:hAnsi="宋体" w:eastAsia="仿宋_GB2312" w:cs="宋体"/>
          <w:spacing w:val="8"/>
          <w:kern w:val="0"/>
          <w:sz w:val="32"/>
          <w:szCs w:val="32"/>
          <w:lang w:eastAsia="zh-CN"/>
        </w:rPr>
        <w:t>切实保障工作高效率高质量完成，充分满足公众政府信息公开需求，推动社会经济高质量发展与社会文明和谐建设。</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（一）组织领导情况</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大兴区财政局设政府信息公开领导小组，负责组织、指导、协调全局开展政府信息公开工作。组长由党组成员、主管政务公开副局长担任，办公室、预算科、国库科等相关科室人员为领导小组成员，承担政府信息公开组织领导工作。下设办公室，配备</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lang w:eastAsia="zh-CN"/>
        </w:rPr>
        <w:t>名专职工作人员，设立了</w:t>
      </w:r>
      <w:r>
        <w:rPr>
          <w:rFonts w:hint="eastAsia" w:ascii="仿宋_GB2312" w:hAnsi="宋体" w:eastAsia="仿宋_GB2312" w:cs="宋体"/>
          <w:spacing w:val="8"/>
          <w:kern w:val="0"/>
          <w:sz w:val="32"/>
          <w:szCs w:val="32"/>
          <w:lang w:val="en-US" w:eastAsia="zh-CN"/>
        </w:rPr>
        <w:t>1个专门的信息申请受理点和公共查阅点。</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（二）主动公开情况</w:t>
      </w:r>
    </w:p>
    <w:p>
      <w:pPr>
        <w:widowControl/>
        <w:spacing w:line="560" w:lineRule="exact"/>
        <w:ind w:firstLine="675"/>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2023年，我局坚持“服务为民”理念、政府信息“应公开、尽公开”原则，积极开展政府信息和政务公开工作，主动公开政府信息47条，包括预决算信息、财政资金直达基层、执法情况、价格和收费、政府债券情况、更新领导简介等内容，公众可通过北京市大兴区人民政府网的各专栏查询到所有主动公开的信息。</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（三）依申请公开办理情况</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val="en-US" w:eastAsia="zh-CN"/>
        </w:rPr>
        <w:t>2023年本局共受理政府信息公开申请9件，已全部按期答复。其中：予以公开4件，无法提供5件；结转下年度继续办理0件。</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（四）政府信息管理情况</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我局在本年度不断优化政府信息管理，认真有序梳理了各类政策文件，制定</w:t>
      </w:r>
      <w:r>
        <w:rPr>
          <w:rFonts w:hint="eastAsia" w:ascii="仿宋_GB2312" w:hAnsi="宋体" w:eastAsia="仿宋_GB2312" w:cs="宋体"/>
          <w:spacing w:val="8"/>
          <w:kern w:val="0"/>
          <w:sz w:val="32"/>
          <w:szCs w:val="32"/>
          <w:lang w:val="en-US" w:eastAsia="zh-CN"/>
        </w:rPr>
        <w:t>《大兴区财政局2023年信息工作管理和考核办法》，进一步提升信息工作质量和水平</w:t>
      </w:r>
      <w:r>
        <w:rPr>
          <w:rFonts w:hint="eastAsia" w:ascii="仿宋_GB2312" w:hAnsi="宋体" w:eastAsia="仿宋_GB2312" w:cs="宋体"/>
          <w:spacing w:val="8"/>
          <w:kern w:val="0"/>
          <w:sz w:val="32"/>
          <w:szCs w:val="32"/>
          <w:lang w:eastAsia="zh-CN"/>
        </w:rPr>
        <w:t>；深化重点领域信息公开，加强了政府信息管理的规范化、标准化、精细化；积极受理并妥善答复公众信息公开申请，做好政府信息的全方位、全过程管理。</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（五）政府信息公开平台建设情况</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我局以政府网站为政府信息第一公开平台，条理清晰地发布法定主动公开内容，注重政府公开信息的时效性、全面性。同时，</w:t>
      </w:r>
      <w:r>
        <w:rPr>
          <w:rFonts w:hint="eastAsia" w:ascii="仿宋_GB2312" w:hAnsi="宋体" w:eastAsia="仿宋_GB2312" w:cs="宋体"/>
          <w:spacing w:val="8"/>
          <w:kern w:val="0"/>
          <w:sz w:val="32"/>
          <w:szCs w:val="32"/>
          <w:lang w:val="en-US" w:eastAsia="zh-CN"/>
        </w:rPr>
        <w:t>坚持以“民意连接”“民声回应”为导向，</w:t>
      </w:r>
      <w:r>
        <w:rPr>
          <w:rFonts w:hint="eastAsia" w:ascii="仿宋_GB2312" w:hAnsi="宋体" w:eastAsia="仿宋_GB2312" w:cs="宋体"/>
          <w:spacing w:val="8"/>
          <w:kern w:val="0"/>
          <w:sz w:val="32"/>
          <w:szCs w:val="32"/>
          <w:lang w:eastAsia="zh-CN"/>
        </w:rPr>
        <w:t>畅通政企政民互动渠道，推进政府开放日、政策公开讲活动开展，有效获取公众意见建议，及时响应公众需求，增强信息公开助企便民效能。</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（六）教育培训情况</w:t>
      </w:r>
    </w:p>
    <w:p>
      <w:pPr>
        <w:widowControl/>
        <w:numPr>
          <w:ilvl w:val="0"/>
          <w:numId w:val="0"/>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我局为加强政务公开人员队伍建设，通过“青年百课堂”培训品牌，定期开展政务公开业务培训，组织工作人员学习政务公开相关政策文件，确保工作人员熟练掌握政务公开业务技能，深刻理解政务公开相关政策文件。</w:t>
      </w:r>
    </w:p>
    <w:p>
      <w:pPr>
        <w:widowControl/>
        <w:numPr>
          <w:ilvl w:val="0"/>
          <w:numId w:val="1"/>
        </w:numPr>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监督保障情况</w:t>
      </w:r>
    </w:p>
    <w:p>
      <w:pPr>
        <w:widowControl/>
        <w:numPr>
          <w:ilvl w:val="0"/>
          <w:numId w:val="0"/>
        </w:numPr>
        <w:spacing w:line="560" w:lineRule="exact"/>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 xml:space="preserve">    我局将政务公开纳入本单位的绩效考核，监督范围涉及制度制定、工作执行、效果评估等信息公开工作的全过程，相关监督人员定期监督并汇总公开，有效发挥监督作用，切实保障政府信息公开工作稳态进行。</w:t>
      </w:r>
    </w:p>
    <w:p>
      <w:pPr>
        <w:numPr>
          <w:ilvl w:val="0"/>
          <w:numId w:val="0"/>
        </w:numPr>
        <w:spacing w:line="560" w:lineRule="exact"/>
        <w:ind w:left="630" w:leftChars="0"/>
        <w:rPr>
          <w:rFonts w:ascii="宋体" w:hAnsi="Courier New" w:eastAsia="宋体" w:cs="Times New Roman"/>
          <w:kern w:val="2"/>
          <w:sz w:val="21"/>
          <w:szCs w:val="24"/>
          <w:lang w:val="en-US" w:eastAsia="zh-CN" w:bidi="ar-SA"/>
        </w:rPr>
      </w:pPr>
      <w:r>
        <w:rPr>
          <w:rFonts w:hint="eastAsia" w:ascii="黑体" w:hAnsi="宋体" w:eastAsia="黑体" w:cs="黑体"/>
          <w:sz w:val="32"/>
          <w:szCs w:val="32"/>
          <w:lang w:eastAsia="zh-CN"/>
        </w:rPr>
        <w:t>二、</w:t>
      </w:r>
      <w:r>
        <w:rPr>
          <w:rFonts w:hint="eastAsia" w:ascii="黑体" w:hAnsi="宋体" w:eastAsia="黑体" w:cs="黑体"/>
          <w:sz w:val="32"/>
          <w:szCs w:val="32"/>
        </w:rPr>
        <w:t>主动公开政府信息情况</w:t>
      </w:r>
    </w:p>
    <w:p>
      <w:pPr>
        <w:widowControl/>
        <w:jc w:val="both"/>
        <w:rPr>
          <w:rFonts w:ascii="宋体" w:hAnsi="Courier New" w:eastAsia="宋体" w:cs="Times New Roman"/>
          <w:kern w:val="2"/>
          <w:sz w:val="21"/>
          <w:szCs w:val="24"/>
          <w:lang w:val="en-US" w:eastAsia="zh-CN" w:bidi="ar-SA"/>
        </w:rPr>
      </w:pPr>
    </w:p>
    <w:tbl>
      <w:tblPr>
        <w:tblStyle w:val="2"/>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宋体" w:hAnsi="宋体" w:eastAsia="宋体" w:cs="宋体"/>
                <w:sz w:val="20"/>
                <w:szCs w:val="20"/>
                <w:lang w:val="en-US" w:eastAsia="zh-CN"/>
              </w:rPr>
            </w:pPr>
            <w:r>
              <w:rPr>
                <w:rFonts w:hint="eastAsia" w:ascii="宋体" w:hAnsi="宋体" w:eastAsia="宋体" w:cs="宋体"/>
                <w:kern w:val="0"/>
                <w:sz w:val="20"/>
                <w:szCs w:val="20"/>
              </w:rPr>
              <w:t> </w:t>
            </w: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ascii="Times New Roman" w:hAnsi="Times New Roman" w:eastAsia="宋体" w:cs="Calibri"/>
                <w:kern w:val="0"/>
                <w:szCs w:val="21"/>
              </w:rPr>
              <w:t> </w:t>
            </w: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ascii="Times New Roman" w:hAnsi="Times New Roman" w:eastAsia="宋体" w:cs="Times New Roman"/>
                <w:lang w:val="en-US" w:eastAsia="zh-CN"/>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default" w:ascii="宋体" w:hAnsi="Times New Roman" w:eastAsia="宋体" w:cs="宋体"/>
                <w:sz w:val="24"/>
                <w:lang w:val="en-US" w:eastAsia="zh-CN"/>
              </w:rPr>
            </w:pPr>
            <w:r>
              <w:rPr>
                <w:rFonts w:hint="eastAsia" w:ascii="宋体" w:hAnsi="Times New Roman" w:eastAsia="宋体" w:cs="宋体"/>
                <w:sz w:val="24"/>
                <w:lang w:val="en-US" w:eastAsia="zh-CN"/>
              </w:rPr>
              <w:t>116.6</w:t>
            </w:r>
          </w:p>
        </w:tc>
      </w:tr>
    </w:tbl>
    <w:p>
      <w:pPr>
        <w:widowControl/>
        <w:jc w:val="both"/>
        <w:rPr>
          <w:rFonts w:ascii="宋体" w:hAnsi="Courier New" w:eastAsia="宋体" w:cs="Times New Roman"/>
          <w:kern w:val="2"/>
          <w:sz w:val="21"/>
          <w:szCs w:val="24"/>
          <w:lang w:val="en-US" w:eastAsia="zh-CN" w:bidi="ar-SA"/>
        </w:rPr>
      </w:pPr>
    </w:p>
    <w:p>
      <w:pPr>
        <w:numPr>
          <w:ilvl w:val="0"/>
          <w:numId w:val="0"/>
        </w:numPr>
        <w:spacing w:line="560" w:lineRule="exact"/>
        <w:ind w:left="630" w:leftChars="0"/>
        <w:rPr>
          <w:rFonts w:hint="eastAsia" w:ascii="黑体" w:hAnsi="宋体" w:eastAsia="黑体" w:cs="黑体"/>
          <w:sz w:val="32"/>
          <w:szCs w:val="32"/>
        </w:rPr>
      </w:pPr>
      <w:r>
        <w:rPr>
          <w:rFonts w:hint="eastAsia" w:ascii="黑体" w:hAnsi="宋体" w:eastAsia="黑体" w:cs="黑体"/>
          <w:sz w:val="32"/>
          <w:szCs w:val="32"/>
          <w:lang w:eastAsia="zh-CN"/>
        </w:rPr>
        <w:t>三、</w:t>
      </w:r>
      <w:r>
        <w:rPr>
          <w:rFonts w:hint="eastAsia" w:ascii="黑体" w:hAnsi="宋体" w:eastAsia="黑体" w:cs="黑体"/>
          <w:sz w:val="32"/>
          <w:szCs w:val="32"/>
        </w:rPr>
        <w:t>收到和处理政府信息公开申请情况</w:t>
      </w:r>
    </w:p>
    <w:p>
      <w:pPr>
        <w:ind w:left="629"/>
        <w:rPr>
          <w:rFonts w:hint="eastAsia" w:ascii="黑体" w:hAnsi="宋体" w:eastAsia="黑体" w:cs="黑体"/>
          <w:sz w:val="24"/>
        </w:rPr>
      </w:pPr>
    </w:p>
    <w:tbl>
      <w:tblPr>
        <w:tblStyle w:val="2"/>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rPr>
                <w:rFonts w:ascii="Times New Roman" w:hAnsi="Times New Roman" w:eastAsia="宋体" w:cs="Times New Roman"/>
              </w:rPr>
            </w:pPr>
            <w:r>
              <w:rPr>
                <w:rFonts w:hint="eastAsia" w:ascii="楷体" w:hAnsi="楷体" w:eastAsia="楷体" w:cs="楷体"/>
                <w:kern w:val="0"/>
                <w:sz w:val="20"/>
                <w:szCs w:val="20"/>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eastAsia="宋体" w:cs="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eastAsia="宋体" w:cs="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eastAsia="宋体" w:cs="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商业</w:t>
            </w:r>
          </w:p>
          <w:p>
            <w:pPr>
              <w:widowControl/>
              <w:jc w:val="center"/>
              <w:rPr>
                <w:rFonts w:ascii="Times New Roman" w:hAnsi="Times New Roman" w:eastAsia="宋体" w:cs="Times New Roman"/>
              </w:rPr>
            </w:pPr>
            <w:r>
              <w:rPr>
                <w:rFonts w:hint="eastAsia" w:ascii="宋体" w:hAnsi="宋体" w:eastAsia="宋体" w:cs="宋体"/>
                <w:kern w:val="0"/>
                <w:sz w:val="20"/>
                <w:szCs w:val="20"/>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科研</w:t>
            </w:r>
          </w:p>
          <w:p>
            <w:pPr>
              <w:widowControl/>
              <w:jc w:val="center"/>
              <w:rPr>
                <w:rFonts w:ascii="Times New Roman" w:hAnsi="Times New Roman" w:eastAsia="宋体" w:cs="Times New Roman"/>
              </w:rPr>
            </w:pPr>
            <w:r>
              <w:rPr>
                <w:rFonts w:hint="eastAsia" w:ascii="宋体" w:hAnsi="宋体" w:eastAsia="宋体" w:cs="宋体"/>
                <w:kern w:val="0"/>
                <w:sz w:val="20"/>
                <w:szCs w:val="20"/>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eastAsia="宋体" w:cs="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3</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（二）部分公开</w:t>
            </w:r>
            <w:r>
              <w:rPr>
                <w:rFonts w:hint="eastAsia" w:ascii="楷体" w:hAnsi="楷体" w:eastAsia="楷体" w:cs="楷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rPr>
                <w:rFonts w:ascii="Times New Roman" w:hAnsi="Times New Roman" w:eastAsia="宋体" w:cs="Times New Roman"/>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rPr>
                <w:rFonts w:ascii="Times New Roman" w:hAnsi="Times New Roman" w:eastAsia="宋体" w:cs="Times New Roman"/>
              </w:rPr>
            </w:pPr>
            <w:r>
              <w:rPr>
                <w:rFonts w:hint="eastAsia" w:ascii="宋体" w:hAnsi="宋体" w:eastAsia="宋体" w:cs="宋体"/>
                <w:kern w:val="0"/>
                <w:sz w:val="20"/>
                <w:szCs w:val="20"/>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eastAsia="宋体" w:cs="Times New Roman"/>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rPr>
                <w:rFonts w:ascii="Times New Roman" w:hAnsi="Times New Roman" w:eastAsia="宋体" w:cs="Times New Roman"/>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eastAsia="宋体" w:cs="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eastAsia="宋体" w:cs="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rPr>
                <w:rFonts w:ascii="Times New Roman" w:hAnsi="Times New Roman" w:eastAsia="宋体" w:cs="Times New Roman"/>
              </w:rPr>
            </w:pPr>
            <w:r>
              <w:rPr>
                <w:rFonts w:hint="eastAsia" w:ascii="宋体" w:hAnsi="宋体" w:eastAsia="宋体" w:cs="宋体"/>
                <w:kern w:val="0"/>
                <w:sz w:val="20"/>
                <w:szCs w:val="20"/>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宋体" w:eastAsia="宋体" w:cs="宋体"/>
                <w:kern w:val="2"/>
                <w:sz w:val="21"/>
                <w:szCs w:val="24"/>
                <w:lang w:val="en-US" w:eastAsia="zh-CN" w:bidi="ar-SA"/>
              </w:rPr>
            </w:pPr>
            <w:r>
              <w:rPr>
                <w:rFonts w:hint="eastAsia" w:ascii="宋体" w:hAnsi="宋体" w:eastAsia="宋体" w:cs="宋体"/>
                <w:sz w:val="24"/>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r>
    </w:tbl>
    <w:p>
      <w:pPr>
        <w:widowControl/>
        <w:jc w:val="both"/>
        <w:rPr>
          <w:rFonts w:ascii="宋体" w:hAnsi="Courier New" w:eastAsia="宋体" w:cs="Times New Roman"/>
          <w:kern w:val="2"/>
          <w:sz w:val="21"/>
          <w:szCs w:val="24"/>
          <w:lang w:val="en-US" w:eastAsia="zh-CN" w:bidi="ar-SA"/>
        </w:rPr>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rPr>
        <w:t>四、政府信息公开行政复议、行政诉讼情况</w:t>
      </w:r>
    </w:p>
    <w:p>
      <w:pPr>
        <w:widowControl/>
        <w:jc w:val="center"/>
        <w:rPr>
          <w:rFonts w:ascii="Times New Roman" w:hAnsi="Times New Roman" w:eastAsia="宋体" w:cs="Times New Roman"/>
        </w:rPr>
      </w:pPr>
    </w:p>
    <w:tbl>
      <w:tblPr>
        <w:tblStyle w:val="2"/>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eastAsia="宋体" w:cs="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eastAsia="宋体" w:cs="Times New Roman"/>
              </w:rPr>
            </w:pPr>
            <w:r>
              <w:rPr>
                <w:rFonts w:hint="eastAsia" w:ascii="宋体" w:hAnsi="宋体" w:eastAsia="宋体" w:cs="宋体"/>
                <w:color w:val="000000"/>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widowControl/>
              <w:jc w:val="center"/>
              <w:rPr>
                <w:rFonts w:hint="eastAsia" w:ascii="宋体" w:hAnsi="宋体" w:eastAsia="宋体" w:cs="宋体"/>
                <w:kern w:val="2"/>
                <w:sz w:val="21"/>
                <w:szCs w:val="24"/>
                <w:lang w:val="en-US" w:eastAsia="zh-CN" w:bidi="ar-SA"/>
              </w:rPr>
            </w:pPr>
            <w:r>
              <w:rPr>
                <w:rFonts w:hint="eastAsia" w:ascii="宋体" w:hAnsi="宋体" w:eastAsia="宋体" w:cs="宋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0</w:t>
            </w:r>
          </w:p>
        </w:tc>
      </w:tr>
    </w:tbl>
    <w:p>
      <w:pPr>
        <w:widowControl/>
        <w:jc w:val="left"/>
        <w:rPr>
          <w:rFonts w:ascii="Times New Roman" w:hAnsi="Times New Roman" w:eastAsia="宋体" w:cs="Times New Roman"/>
        </w:rPr>
      </w:pPr>
    </w:p>
    <w:p>
      <w:pPr>
        <w:widowControl/>
        <w:spacing w:line="560" w:lineRule="exact"/>
        <w:ind w:firstLine="672" w:firstLineChars="200"/>
        <w:jc w:val="left"/>
        <w:rPr>
          <w:rFonts w:hint="eastAsia" w:ascii="宋体" w:hAnsi="宋体" w:eastAsia="宋体" w:cs="宋体"/>
          <w:spacing w:val="8"/>
          <w:kern w:val="0"/>
          <w:sz w:val="24"/>
        </w:rPr>
      </w:pPr>
      <w:r>
        <w:rPr>
          <w:rFonts w:hint="eastAsia" w:ascii="黑体" w:hAnsi="宋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1.政务公开政策学习有待提升。当前公众对政务信息公开工作的需求不断加大，需要我们不断掌握最新政策要求，畅通公开渠道。今年以来，由财政业务骨干组建“政策宣讲团”，对财政业务、政务公开、法治建设等相关政策深入学习、广泛宣传，切实提升财政干部政策把握能力和财政业务素质，促进政府信息公开工作不断完善。</w:t>
      </w:r>
    </w:p>
    <w:p>
      <w:pPr>
        <w:widowControl/>
        <w:spacing w:line="560" w:lineRule="exact"/>
        <w:ind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2.政务公开工作质量有待加强。针对新形势、新情况，需进一步明确政务公开工作责任，强化督促落实。今年以来，不断强化政务公开督促落实力度，建立督办机制，促进工作有力开展，提升政务公开工作质量。</w:t>
      </w:r>
    </w:p>
    <w:p>
      <w:pPr>
        <w:widowControl/>
        <w:spacing w:line="560" w:lineRule="exact"/>
        <w:ind w:firstLine="675"/>
        <w:jc w:val="left"/>
        <w:rPr>
          <w:rFonts w:hint="eastAsia" w:ascii="宋体" w:hAnsi="宋体" w:eastAsia="宋体" w:cs="宋体"/>
          <w:spacing w:val="8"/>
          <w:kern w:val="0"/>
          <w:sz w:val="32"/>
          <w:szCs w:val="32"/>
        </w:rPr>
      </w:pPr>
      <w:r>
        <w:rPr>
          <w:rFonts w:hint="eastAsia" w:ascii="黑体" w:hAnsi="宋体" w:eastAsia="黑体" w:cs="宋体"/>
          <w:spacing w:val="8"/>
          <w:kern w:val="0"/>
          <w:sz w:val="32"/>
          <w:szCs w:val="32"/>
        </w:rPr>
        <w:t>六、其他需要报告的事项</w:t>
      </w:r>
    </w:p>
    <w:p>
      <w:pPr>
        <w:widowControl/>
        <w:spacing w:line="560" w:lineRule="exact"/>
        <w:jc w:val="left"/>
        <w:rPr>
          <w:rFonts w:hint="default" w:ascii="仿宋_GB2312" w:hAnsi="宋体" w:eastAsia="仿宋_GB2312" w:cs="宋体"/>
          <w:spacing w:val="8"/>
          <w:kern w:val="0"/>
          <w:sz w:val="32"/>
          <w:szCs w:val="32"/>
          <w:lang w:val="en-US" w:eastAsia="zh-CN"/>
        </w:rPr>
      </w:pPr>
      <w:r>
        <w:rPr>
          <w:rFonts w:hint="eastAsia" w:ascii="宋体" w:hAnsi="宋体" w:eastAsia="宋体" w:cs="宋体"/>
          <w:spacing w:val="8"/>
          <w:kern w:val="0"/>
          <w:sz w:val="32"/>
          <w:szCs w:val="32"/>
        </w:rPr>
        <w:t>　　</w:t>
      </w:r>
      <w:r>
        <w:rPr>
          <w:rFonts w:hint="eastAsia" w:ascii="仿宋_GB2312" w:hAnsi="宋体" w:eastAsia="仿宋_GB2312" w:cs="宋体"/>
          <w:spacing w:val="8"/>
          <w:kern w:val="0"/>
          <w:sz w:val="32"/>
          <w:szCs w:val="32"/>
          <w:lang w:val="en-US" w:eastAsia="zh-CN"/>
        </w:rPr>
        <w:t>我单位本年度发出收费通知的件数和总金额以及实际收取的总金额均为0。</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BB288"/>
    <w:multiLevelType w:val="singleLevel"/>
    <w:tmpl w:val="659BB288"/>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EFEF58E2"/>
    <w:rsid w:val="046E02FF"/>
    <w:rsid w:val="2F575987"/>
    <w:rsid w:val="342D2427"/>
    <w:rsid w:val="3D205D89"/>
    <w:rsid w:val="421957D5"/>
    <w:rsid w:val="51FDDBBF"/>
    <w:rsid w:val="59FF39C4"/>
    <w:rsid w:val="6F5B94DF"/>
    <w:rsid w:val="765724E5"/>
    <w:rsid w:val="7E116CB5"/>
    <w:rsid w:val="7FF95297"/>
    <w:rsid w:val="9FF531B3"/>
    <w:rsid w:val="B7B51A24"/>
    <w:rsid w:val="BBFE267A"/>
    <w:rsid w:val="ED4D0EB8"/>
    <w:rsid w:val="EFEF58E2"/>
    <w:rsid w:val="FABF443D"/>
    <w:rsid w:val="FFFBB4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2024-01-03T08:22:00Z</dcterms:created>
  <dc:creator> </dc:creator>
  <cp:lastModifiedBy>shen</cp:lastModifiedBy>
  <cp:lastPrinted>2024-01-10T16:12:00Z</cp:lastPrinted>
  <dcterms:modified xsi:type="dcterms:W3CDTF">2024-01-15T01:47:10Z</dcterms:modified>
  <dc:title>北京市大兴区财政局2023年政府信息公开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