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eastAsia="zh-CN"/>
        </w:rPr>
        <w:t>北京市大兴区水务局</w:t>
      </w:r>
      <w:r>
        <w:rPr>
          <w:rFonts w:hint="eastAsia" w:ascii="方正小标宋简体" w:hAnsi="方正小标宋简体" w:eastAsia="方正小标宋简体" w:cs="方正小标宋简体"/>
          <w:sz w:val="44"/>
          <w:szCs w:val="44"/>
          <w:highlight w:val="none"/>
        </w:rPr>
        <w:t>202</w:t>
      </w:r>
      <w:r>
        <w:rPr>
          <w:rFonts w:hint="eastAsia" w:ascii="方正小标宋简体" w:hAnsi="方正小标宋简体" w:eastAsia="方正小标宋简体" w:cs="方正小标宋简体"/>
          <w:sz w:val="44"/>
          <w:szCs w:val="44"/>
          <w:highlight w:val="none"/>
          <w:lang w:val="en-US" w:eastAsia="zh-CN"/>
        </w:rPr>
        <w:t>3</w:t>
      </w:r>
      <w:r>
        <w:rPr>
          <w:rFonts w:hint="eastAsia" w:ascii="方正小标宋简体" w:hAnsi="方正小标宋简体" w:eastAsia="方正小标宋简体" w:cs="方正小标宋简体"/>
          <w:sz w:val="44"/>
          <w:szCs w:val="44"/>
          <w:highlight w:val="none"/>
        </w:rPr>
        <w:t>年政府信息公开</w:t>
      </w:r>
    </w:p>
    <w:p>
      <w:pPr>
        <w:spacing w:line="560" w:lineRule="exact"/>
        <w:jc w:val="center"/>
        <w:rPr>
          <w:sz w:val="44"/>
          <w:szCs w:val="44"/>
        </w:rPr>
      </w:pPr>
      <w:r>
        <w:rPr>
          <w:rFonts w:hint="eastAsia" w:ascii="方正小标宋简体" w:hAnsi="方正小标宋简体" w:eastAsia="方正小标宋简体" w:cs="方正小标宋简体"/>
          <w:sz w:val="44"/>
          <w:szCs w:val="44"/>
          <w:highlight w:val="none"/>
        </w:rPr>
        <w:t>工作年度报告</w:t>
      </w:r>
      <w:r>
        <w:rPr>
          <w:rFonts w:hint="eastAsia" w:ascii="微软雅黑" w:hAnsi="微软雅黑" w:eastAsia="微软雅黑" w:cs="宋体"/>
          <w:color w:val="404040"/>
          <w:kern w:val="0"/>
          <w:sz w:val="24"/>
          <w:highlight w:val="none"/>
        </w:rPr>
        <w:t>　</w:t>
      </w:r>
      <w:r>
        <w:rPr>
          <w:rFonts w:hint="eastAsia" w:ascii="微软雅黑" w:hAnsi="微软雅黑" w:eastAsia="微软雅黑" w:cs="宋体"/>
          <w:color w:val="404040"/>
          <w:kern w:val="0"/>
          <w:sz w:val="32"/>
          <w:szCs w:val="32"/>
          <w:highlight w:val="none"/>
        </w:rPr>
        <w:t xml:space="preserve"> </w:t>
      </w:r>
      <w:r>
        <w:rPr>
          <w:rFonts w:ascii="微软雅黑" w:hAnsi="微软雅黑" w:eastAsia="微软雅黑" w:cs="宋体"/>
          <w:color w:val="404040"/>
          <w:kern w:val="0"/>
          <w:sz w:val="32"/>
          <w:szCs w:val="32"/>
          <w:highlight w:val="none"/>
        </w:rPr>
        <w:t xml:space="preserve"> </w:t>
      </w:r>
    </w:p>
    <w:p>
      <w:pPr>
        <w:widowControl/>
        <w:spacing w:line="560" w:lineRule="exact"/>
        <w:jc w:val="left"/>
        <w:rPr>
          <w:rFonts w:hint="eastAsia" w:ascii="仿宋_GB2312" w:hAnsi="宋体" w:eastAsia="仿宋_GB2312" w:cs="宋体"/>
          <w:spacing w:val="8"/>
          <w:kern w:val="0"/>
          <w:sz w:val="32"/>
          <w:szCs w:val="32"/>
        </w:rPr>
      </w:pPr>
      <w:r>
        <w:rPr>
          <w:rFonts w:hint="eastAsia" w:ascii="微软雅黑" w:hAnsi="微软雅黑" w:eastAsia="微软雅黑" w:cs="宋体"/>
          <w:color w:val="404040"/>
          <w:kern w:val="0"/>
          <w:sz w:val="24"/>
        </w:rPr>
        <w:t>　　</w:t>
      </w:r>
      <w:r>
        <w:rPr>
          <w:rFonts w:hint="eastAsia" w:ascii="微软雅黑" w:hAnsi="微软雅黑" w:eastAsia="微软雅黑" w:cs="宋体"/>
          <w:color w:val="404040"/>
          <w:kern w:val="0"/>
          <w:sz w:val="32"/>
          <w:szCs w:val="32"/>
        </w:rPr>
        <w:t xml:space="preserve"> </w:t>
      </w:r>
      <w:r>
        <w:rPr>
          <w:rFonts w:ascii="微软雅黑" w:hAnsi="微软雅黑" w:eastAsia="微软雅黑" w:cs="宋体"/>
          <w:color w:val="404040"/>
          <w:kern w:val="0"/>
          <w:sz w:val="32"/>
          <w:szCs w:val="32"/>
        </w:rPr>
        <w:t xml:space="preserve">  </w:t>
      </w:r>
      <w:r>
        <w:rPr>
          <w:rFonts w:hint="eastAsia" w:ascii="仿宋_GB2312" w:hAnsi="宋体" w:eastAsia="仿宋_GB2312" w:cs="宋体"/>
          <w:spacing w:val="8"/>
          <w:kern w:val="0"/>
          <w:sz w:val="32"/>
          <w:szCs w:val="32"/>
        </w:rPr>
        <w:t>依据《中华人民共和国政府信息公开条例》(以下简称《政府信息公开条例》)第五十条规定，编制本报告。</w:t>
      </w:r>
    </w:p>
    <w:p>
      <w:pPr>
        <w:widowControl/>
        <w:spacing w:line="560" w:lineRule="exact"/>
        <w:ind w:firstLine="672" w:firstLineChars="200"/>
        <w:jc w:val="left"/>
        <w:rPr>
          <w:rFonts w:ascii="黑体" w:hAnsi="黑体" w:eastAsia="黑体" w:cs="宋体"/>
          <w:spacing w:val="8"/>
          <w:kern w:val="0"/>
          <w:sz w:val="32"/>
          <w:szCs w:val="32"/>
        </w:rPr>
      </w:pPr>
      <w:r>
        <w:rPr>
          <w:rFonts w:ascii="黑体" w:hAnsi="黑体" w:eastAsia="黑体" w:cs="宋体"/>
          <w:spacing w:val="8"/>
          <w:kern w:val="0"/>
          <w:sz w:val="32"/>
          <w:szCs w:val="32"/>
        </w:rPr>
        <w:t>一、总体情况</w:t>
      </w:r>
    </w:p>
    <w:p>
      <w:pPr>
        <w:keepNext w:val="0"/>
        <w:keepLines w:val="0"/>
        <w:pageBreakBefore w:val="0"/>
        <w:widowControl w:val="0"/>
        <w:kinsoku/>
        <w:wordWrap/>
        <w:overflowPunct/>
        <w:topLinePunct w:val="0"/>
        <w:autoSpaceDE/>
        <w:autoSpaceDN/>
        <w:bidi w:val="0"/>
        <w:adjustRightInd w:val="0"/>
        <w:snapToGrid w:val="0"/>
        <w:spacing w:line="560" w:lineRule="exact"/>
        <w:ind w:right="0" w:rightChars="0" w:firstLine="640" w:firstLineChars="200"/>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23</w:t>
      </w:r>
      <w:r>
        <w:rPr>
          <w:rFonts w:hint="eastAsia" w:ascii="仿宋_GB2312" w:hAnsi="仿宋_GB2312" w:eastAsia="仿宋_GB2312" w:cs="仿宋_GB2312"/>
          <w:sz w:val="32"/>
          <w:szCs w:val="32"/>
        </w:rPr>
        <w:t>年大兴区水务局</w:t>
      </w:r>
      <w:r>
        <w:rPr>
          <w:rFonts w:hint="eastAsia" w:ascii="仿宋_GB2312" w:hAnsi="仿宋_GB2312" w:eastAsia="仿宋_GB2312" w:cs="仿宋_GB2312"/>
          <w:sz w:val="32"/>
          <w:szCs w:val="32"/>
          <w:lang w:eastAsia="zh-CN"/>
        </w:rPr>
        <w:t>按照政府信息公开</w:t>
      </w:r>
      <w:r>
        <w:rPr>
          <w:rFonts w:hint="eastAsia" w:ascii="仿宋_GB2312" w:hAnsi="仿宋_GB2312" w:eastAsia="仿宋_GB2312" w:cs="仿宋_GB2312"/>
          <w:sz w:val="32"/>
          <w:szCs w:val="32"/>
        </w:rPr>
        <w:t>要求，加强领导，狠抓落实，积极开展政府政府信息公开工作。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lang w:val="en-US" w:eastAsia="zh-CN"/>
        </w:rPr>
      </w:pPr>
      <w:r>
        <w:rPr>
          <w:rFonts w:hint="eastAsia" w:ascii="仿宋_GB2312" w:hAnsi="仿宋_GB2312" w:eastAsia="仿宋_GB2312" w:cs="仿宋_GB2312"/>
          <w:sz w:val="32"/>
          <w:szCs w:val="32"/>
          <w:lang w:val="en-US" w:eastAsia="zh-CN"/>
        </w:rPr>
        <w:t>1.组织领导情况：认真落实区委、区政府决策部署，严格落实政府信息公开要求，结合水务重点工作任务，主动发布信息，积极回应社会关切，持续稳步推进政府信息公开工作，促进依法行政。优化大兴区水务局信息公开工作小组结构，由政务公开分管领导负责政务信息公开整体部署和工作推进及审核，对政务公开工作中遇到的问题及时开展专题研究。政务公开工作人员具体负责日常事务，协同推进政务信息公开工作，完善公文公开属性的源头管理，健全保密审查制度机制，明确信息公开保密审查流程，提升政务服务水平，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color w:val="auto"/>
          <w:sz w:val="32"/>
          <w:szCs w:val="32"/>
          <w:lang w:val="en-US" w:eastAsia="zh-CN"/>
        </w:rPr>
        <w:t>2.主动公开情况：2023年大兴区水务局主动公开政府信息169条，分别为区政府文件3条、政策解读3条、政策性意见征集3条、通知公告11条、动态信息2条、预决算4条、执法公示143条。主动公开政府信息工作安排专人负责，全面抓好落实。</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依申请公开办理情况：持续提升依申请公开工作质量，严格执行《北京市大兴区水务局关于印发&lt;北京市大兴区水务局政府信息依申请公开事项办理办法（暂行）&gt;的通知》（兴水发〔2020〕12号），切实做到依申请公开工作在办理流程、答复时限、答复内容等方面合法合规。2023年，我单位办理依申请公开1件，无行政复议、行政诉讼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4.政府信息管理情况</w:t>
      </w:r>
      <w:r>
        <w:rPr>
          <w:rFonts w:hint="eastAsia" w:ascii="仿宋_GB2312" w:hAnsi="仿宋_GB2312" w:eastAsia="仿宋_GB2312" w:cs="仿宋_GB2312"/>
          <w:color w:val="auto"/>
          <w:sz w:val="32"/>
          <w:szCs w:val="32"/>
          <w:lang w:val="en-US" w:eastAsia="zh-CN"/>
        </w:rPr>
        <w:t>：我局严格履行“谁公开谁负责”的原则，由责任科室撰写、整理信息，经科室负责人审核后，填写保密审查单，经保密审查机构负责人和主管领导审批后，将审批后的保密审查单及信息报送至综合办公室，由综合办公室具体工作人员按程序予以公开，</w:t>
      </w:r>
      <w:r>
        <w:rPr>
          <w:rFonts w:hint="eastAsia" w:ascii="仿宋_GB2312" w:hAnsi="仿宋_GB2312" w:eastAsia="仿宋_GB2312" w:cs="仿宋_GB2312"/>
          <w:i w:val="0"/>
          <w:caps w:val="0"/>
          <w:color w:val="auto"/>
          <w:spacing w:val="0"/>
          <w:sz w:val="32"/>
          <w:szCs w:val="32"/>
          <w:shd w:val="clear" w:fill="FFFFFF"/>
        </w:rPr>
        <w:t>保障政府信息公开工作的规范性、准确性、合法性</w:t>
      </w:r>
      <w:r>
        <w:rPr>
          <w:rFonts w:hint="eastAsia" w:ascii="仿宋_GB2312" w:hAnsi="仿宋_GB2312" w:eastAsia="仿宋_GB2312" w:cs="仿宋_GB2312"/>
          <w:i w:val="0"/>
          <w:caps w:val="0"/>
          <w:color w:val="auto"/>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政府信息公开平台建设情况：加强政务新媒体建设和管理。严格内容发布审核制度，坚持分级分类审核、先审后发。规范信息转载发布，完善政务新媒体日常运维机制。2023年大兴区水务局依托区政府网站、官方微博及官方微信公众号，开展政府信息公开工作，共发布微博351条，微信公众号文章485篇，收到良好成效。</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教育培训情况：2023年大兴区水务局组织机关各科室、局属各单位负责人，对《北京市大兴区2023年政务公开工作要点》和《政府信息公开条例》等相关文件进行学习，规范信息发布形式，不断增强政务公开意识，同时，多次参加区政务服务局组织的政务公开培训，为进一步做好政务公开工作奠定了基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7.监督保障情况：大兴区水务局政府信息公开领导小组对局政府信息公开的实施情况进行实时监督，将政府信息公开工作纳入各科室、局属各单位年度考核，并加强督查。</w:t>
      </w:r>
      <w:r>
        <w:rPr>
          <w:rFonts w:hint="eastAsia" w:ascii="仿宋_GB2312" w:hAnsi="宋体" w:eastAsia="仿宋_GB2312" w:cs="宋体"/>
          <w:color w:val="auto"/>
          <w:spacing w:val="8"/>
          <w:kern w:val="0"/>
          <w:sz w:val="32"/>
          <w:szCs w:val="32"/>
          <w:lang w:val="en-US" w:eastAsia="zh-CN" w:bidi="ar-SA"/>
        </w:rPr>
        <w:t>在收到相关</w:t>
      </w:r>
      <w:r>
        <w:rPr>
          <w:rFonts w:hint="eastAsia" w:ascii="仿宋_GB2312" w:hAnsi="宋体" w:eastAsia="仿宋_GB2312" w:cs="宋体"/>
          <w:spacing w:val="8"/>
          <w:kern w:val="0"/>
          <w:sz w:val="32"/>
          <w:szCs w:val="32"/>
          <w:lang w:val="en-US" w:eastAsia="zh-CN" w:bidi="ar-SA"/>
        </w:rPr>
        <w:t>问题和建议后，及时进行认真细致的分析，找出工作中出现的薄弱环节，对出现问题进行及时整改。同时利用公众号、12345等群众留言渠道，</w:t>
      </w:r>
      <w:r>
        <w:rPr>
          <w:rFonts w:hint="eastAsia" w:ascii="仿宋_GB2312" w:hAnsi="仿宋_GB2312" w:eastAsia="仿宋_GB2312" w:cs="仿宋_GB2312"/>
          <w:sz w:val="32"/>
          <w:szCs w:val="32"/>
          <w:lang w:val="en-US" w:eastAsia="zh-CN"/>
        </w:rPr>
        <w:t>保障公开渠道畅通。</w:t>
      </w: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主动公开政府信息情况</w:t>
      </w:r>
    </w:p>
    <w:p>
      <w:pPr>
        <w:pStyle w:val="3"/>
        <w:widowControl/>
      </w:pPr>
    </w:p>
    <w:p>
      <w:pPr>
        <w:pStyle w:val="3"/>
        <w:widowControl/>
      </w:pPr>
    </w:p>
    <w:tbl>
      <w:tblPr>
        <w:tblStyle w:val="5"/>
        <w:tblW w:w="9740" w:type="dxa"/>
        <w:jc w:val="center"/>
        <w:tblInd w:w="0" w:type="dxa"/>
        <w:tblLayout w:type="fixed"/>
        <w:tblCellMar>
          <w:top w:w="0" w:type="dxa"/>
          <w:left w:w="0" w:type="dxa"/>
          <w:bottom w:w="0" w:type="dxa"/>
          <w:right w:w="0" w:type="dxa"/>
        </w:tblCellMar>
      </w:tblPr>
      <w:tblGrid>
        <w:gridCol w:w="2435"/>
        <w:gridCol w:w="2435"/>
        <w:gridCol w:w="2435"/>
        <w:gridCol w:w="2435"/>
      </w:tblGrid>
      <w:tr>
        <w:tblPrEx>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第二十条第（一）项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rPr>
                <w:rFonts w:hint="eastAsia" w:ascii="宋体" w:hAnsi="宋体" w:cs="宋体"/>
                <w:color w:val="000000"/>
                <w:kern w:val="0"/>
                <w:sz w:val="20"/>
                <w:szCs w:val="20"/>
                <w:lang w:bidi="ar"/>
              </w:rPr>
            </w:pPr>
            <w:r>
              <w:rPr>
                <w:rFonts w:hint="eastAsia" w:ascii="宋体" w:hAnsi="宋体" w:cs="宋体"/>
                <w:color w:val="000000"/>
                <w:kern w:val="0"/>
                <w:sz w:val="20"/>
                <w:szCs w:val="20"/>
                <w:lang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现行有效件数</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w:t>
            </w:r>
            <w:r>
              <w:rPr>
                <w:rFonts w:hint="eastAsia" w:cs="Calibri"/>
                <w:kern w:val="0"/>
                <w:szCs w:val="21"/>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3</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bidi="ar"/>
              </w:rPr>
              <w:t> 　</w:t>
            </w:r>
            <w:r>
              <w:rPr>
                <w:rFonts w:hint="eastAsia" w:ascii="宋体" w:hAnsi="宋体" w:cs="宋体"/>
                <w:color w:val="000000"/>
                <w:kern w:val="0"/>
                <w:sz w:val="20"/>
                <w:szCs w:val="20"/>
                <w:lang w:val="en-US" w:eastAsia="zh-CN" w:bidi="ar"/>
              </w:rPr>
              <w:t>0</w:t>
            </w:r>
          </w:p>
        </w:tc>
        <w:tc>
          <w:tcPr>
            <w:tcW w:w="2435" w:type="dxa"/>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w:t>
            </w:r>
            <w:r>
              <w:rPr>
                <w:rFonts w:hint="eastAsia" w:cs="Calibri"/>
                <w:kern w:val="0"/>
                <w:szCs w:val="21"/>
                <w:lang w:val="en-US" w:eastAsia="zh-CN" w:bidi="ar"/>
              </w:rPr>
              <w:t>6</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第二十条第（五）项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pPr>
            <w:r>
              <w:rPr>
                <w:rFonts w:cs="Calibri"/>
                <w:kern w:val="0"/>
                <w:szCs w:val="21"/>
                <w:lang w:bidi="ar"/>
              </w:rPr>
              <w:t> </w:t>
            </w:r>
            <w:r>
              <w:rPr>
                <w:rFonts w:hint="eastAsia" w:cs="Calibri"/>
                <w:kern w:val="0"/>
                <w:szCs w:val="21"/>
                <w:lang w:val="en-US" w:eastAsia="zh-CN" w:bidi="ar"/>
              </w:rPr>
              <w:t>548</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第二十条第（六）项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本年处理决定数量</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val="en-US" w:eastAsia="zh-CN" w:bidi="ar"/>
              </w:rPr>
              <w:t>40</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widowControl/>
              <w:jc w:val="left"/>
            </w:pPr>
            <w:r>
              <w:rPr>
                <w:rFonts w:hint="eastAsia" w:ascii="宋体" w:hAnsi="宋体" w:cs="宋体"/>
                <w:color w:val="000000"/>
                <w:kern w:val="0"/>
                <w:sz w:val="20"/>
                <w:szCs w:val="20"/>
                <w:lang w:val="en-US" w:eastAsia="zh-CN" w:bidi="ar"/>
              </w:rPr>
              <w:t>0</w:t>
            </w:r>
          </w:p>
        </w:tc>
      </w:tr>
      <w:tr>
        <w:tblPrEx>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color w:val="000000"/>
                <w:kern w:val="0"/>
                <w:sz w:val="20"/>
                <w:szCs w:val="20"/>
                <w:lang w:bidi="ar"/>
              </w:rPr>
              <w:t>第二十条第（八）项</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center"/>
            </w:pPr>
            <w:r>
              <w:rPr>
                <w:rFonts w:hint="eastAsia" w:ascii="宋体" w:hAnsi="宋体" w:cs="宋体"/>
                <w:color w:val="000000"/>
                <w:kern w:val="0"/>
                <w:sz w:val="20"/>
                <w:szCs w:val="20"/>
                <w:lang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widowControl/>
              <w:jc w:val="center"/>
            </w:pPr>
            <w:r>
              <w:rPr>
                <w:rFonts w:hint="eastAsia" w:ascii="宋体" w:hAnsi="宋体" w:cs="宋体"/>
                <w:color w:val="000000"/>
                <w:kern w:val="0"/>
                <w:sz w:val="20"/>
                <w:szCs w:val="20"/>
                <w:lang w:bidi="ar"/>
              </w:rPr>
              <w:t>本年收费金额（单位：万元）</w:t>
            </w:r>
          </w:p>
        </w:tc>
      </w:tr>
      <w:tr>
        <w:tblPrEx>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color w:val="000000"/>
                <w:kern w:val="0"/>
                <w:sz w:val="20"/>
                <w:szCs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hint="eastAsia" w:ascii="宋体" w:hAnsi="Times New Roman" w:cs="宋体"/>
                <w:sz w:val="24"/>
              </w:rPr>
            </w:pPr>
            <w:r>
              <w:rPr>
                <w:rFonts w:hint="eastAsia" w:ascii="宋体" w:hAnsi="Times New Roman" w:cs="宋体"/>
                <w:sz w:val="24"/>
              </w:rPr>
              <w:t>4178.47</w:t>
            </w:r>
          </w:p>
        </w:tc>
      </w:tr>
    </w:tbl>
    <w:p>
      <w:pPr>
        <w:pStyle w:val="3"/>
        <w:widowControl/>
      </w:pPr>
    </w:p>
    <w:p>
      <w:pPr>
        <w:numPr>
          <w:ilvl w:val="0"/>
          <w:numId w:val="1"/>
        </w:numPr>
        <w:spacing w:line="560" w:lineRule="exact"/>
        <w:ind w:firstLine="640"/>
        <w:rPr>
          <w:rFonts w:hint="eastAsia" w:ascii="黑体" w:hAnsi="宋体" w:eastAsia="黑体" w:cs="黑体"/>
          <w:sz w:val="32"/>
          <w:szCs w:val="32"/>
        </w:rPr>
      </w:pPr>
      <w:r>
        <w:rPr>
          <w:rFonts w:hint="eastAsia" w:ascii="黑体" w:hAnsi="宋体" w:eastAsia="黑体" w:cs="黑体"/>
          <w:sz w:val="32"/>
          <w:szCs w:val="32"/>
          <w:lang w:bidi="ar"/>
        </w:rPr>
        <w:t>收到和处理政府信息公开申请情况</w:t>
      </w:r>
    </w:p>
    <w:p>
      <w:pPr>
        <w:ind w:left="629"/>
        <w:rPr>
          <w:rFonts w:hint="eastAsia" w:ascii="黑体" w:hAnsi="宋体" w:eastAsia="黑体" w:cs="黑体"/>
          <w:sz w:val="24"/>
        </w:rP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769"/>
        <w:gridCol w:w="943"/>
        <w:gridCol w:w="3220"/>
        <w:gridCol w:w="688"/>
        <w:gridCol w:w="688"/>
        <w:gridCol w:w="688"/>
        <w:gridCol w:w="688"/>
        <w:gridCol w:w="688"/>
        <w:gridCol w:w="688"/>
        <w:gridCol w:w="688"/>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widowControl/>
              <w:jc w:val="left"/>
            </w:pPr>
            <w:r>
              <w:rPr>
                <w:rFonts w:hint="eastAsia" w:ascii="楷体" w:hAnsi="楷体" w:eastAsia="楷体" w:cs="楷体"/>
                <w:kern w:val="0"/>
                <w:sz w:val="20"/>
                <w:szCs w:val="20"/>
                <w:lang w:bidi="ar"/>
              </w:rPr>
              <w:t>（本列数据的勾稽关系为：第一项加第二项之和，等于第三项加第四项之和）</w:t>
            </w:r>
          </w:p>
        </w:tc>
        <w:tc>
          <w:tcPr>
            <w:tcW w:w="4816" w:type="dxa"/>
            <w:gridSpan w:val="7"/>
            <w:tcBorders>
              <w:top w:val="single" w:color="auto" w:sz="8" w:space="0"/>
              <w:left w:val="single" w:color="auto" w:sz="0" w:space="0"/>
              <w:bottom w:val="wav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restart"/>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自然人</w:t>
            </w:r>
          </w:p>
        </w:tc>
        <w:tc>
          <w:tcPr>
            <w:tcW w:w="3440" w:type="dxa"/>
            <w:gridSpan w:val="5"/>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法人或其他组织</w:t>
            </w:r>
          </w:p>
        </w:tc>
        <w:tc>
          <w:tcPr>
            <w:tcW w:w="688" w:type="dxa"/>
            <w:vMerge w:val="restart"/>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348" w:hRule="atLeast"/>
          <w:jc w:val="center"/>
        </w:trPr>
        <w:tc>
          <w:tcPr>
            <w:tcW w:w="4932"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rPr>
                <w:rFonts w:ascii="Times New Roman" w:hAnsi="Times New Roman"/>
                <w:sz w:val="20"/>
                <w:szCs w:val="20"/>
              </w:rPr>
            </w:pPr>
          </w:p>
        </w:tc>
        <w:tc>
          <w:tcPr>
            <w:tcW w:w="688" w:type="dxa"/>
            <w:vMerge w:val="continue"/>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商业</w:t>
            </w:r>
          </w:p>
          <w:p>
            <w:pPr>
              <w:widowControl/>
              <w:jc w:val="center"/>
            </w:pPr>
            <w:r>
              <w:rPr>
                <w:rFonts w:hint="eastAsia" w:ascii="宋体" w:hAnsi="宋体" w:cs="宋体"/>
                <w:kern w:val="0"/>
                <w:sz w:val="20"/>
                <w:szCs w:val="20"/>
                <w:lang w:bidi="ar"/>
              </w:rPr>
              <w:t>企业</w:t>
            </w:r>
          </w:p>
        </w:tc>
        <w:tc>
          <w:tcPr>
            <w:tcW w:w="688" w:type="dxa"/>
            <w:tcBorders>
              <w:top w:val="single" w:color="auto" w:sz="0"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科研</w:t>
            </w:r>
          </w:p>
          <w:p>
            <w:pPr>
              <w:widowControl/>
              <w:jc w:val="center"/>
            </w:pPr>
            <w:r>
              <w:rPr>
                <w:rFonts w:hint="eastAsia" w:ascii="宋体" w:hAnsi="宋体" w:cs="宋体"/>
                <w:kern w:val="0"/>
                <w:sz w:val="20"/>
                <w:szCs w:val="20"/>
                <w:lang w:bidi="ar"/>
              </w:rPr>
              <w:t>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社会公益组织</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法律服务机构</w:t>
            </w:r>
          </w:p>
        </w:tc>
        <w:tc>
          <w:tcPr>
            <w:tcW w:w="688" w:type="dxa"/>
            <w:tcBorders>
              <w:top w:val="single" w:color="auto" w:sz="8" w:space="0"/>
              <w:left w:val="single" w:color="auto" w:sz="0" w:space="0"/>
              <w:bottom w:val="single" w:color="auto" w:sz="8" w:space="0"/>
              <w:right w:val="single" w:color="auto" w:sz="8" w:space="0"/>
            </w:tcBorders>
            <w:shd w:val="clear" w:color="auto" w:fill="9BC2E6"/>
            <w:tcMar>
              <w:left w:w="57" w:type="dxa"/>
              <w:right w:w="57" w:type="dxa"/>
            </w:tcMar>
            <w:vAlign w:val="center"/>
          </w:tcPr>
          <w:p>
            <w:pPr>
              <w:widowControl/>
              <w:jc w:val="center"/>
            </w:pPr>
            <w:r>
              <w:rPr>
                <w:rFonts w:hint="eastAsia" w:ascii="宋体" w:hAnsi="宋体" w:cs="宋体"/>
                <w:kern w:val="0"/>
                <w:sz w:val="20"/>
                <w:szCs w:val="20"/>
                <w:lang w:bidi="ar"/>
              </w:rPr>
              <w:t>其他</w:t>
            </w:r>
          </w:p>
        </w:tc>
        <w:tc>
          <w:tcPr>
            <w:tcW w:w="688" w:type="dxa"/>
            <w:vMerge w:val="continue"/>
            <w:tcBorders>
              <w:top w:val="single" w:color="auto" w:sz="8" w:space="0"/>
              <w:left w:val="single" w:color="auto" w:sz="0" w:space="0"/>
              <w:bottom w:val="inset" w:color="auto" w:sz="8" w:space="0"/>
              <w:right w:val="single" w:color="auto" w:sz="8" w:space="0"/>
            </w:tcBorders>
            <w:shd w:val="clear" w:color="auto" w:fill="9BC2E6"/>
            <w:tcMar>
              <w:left w:w="57" w:type="dxa"/>
              <w:right w:w="57" w:type="dxa"/>
            </w:tcMar>
            <w:vAlign w:val="center"/>
          </w:tcPr>
          <w:p>
            <w:pPr>
              <w:rPr>
                <w:rFonts w:ascii="Times New Roman" w:hAnsi="Times New Roman"/>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1</w:t>
            </w: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eastAsia="宋体"/>
                <w:lang w:eastAsia="zh-CN"/>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228" w:hRule="atLeast"/>
          <w:jc w:val="center"/>
        </w:trPr>
        <w:tc>
          <w:tcPr>
            <w:tcW w:w="4932"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cs="Calibri"/>
                <w:kern w:val="0"/>
                <w:sz w:val="20"/>
                <w:szCs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top"/>
          </w:tcPr>
          <w:p>
            <w:pPr>
              <w:widowControl/>
              <w:jc w:val="center"/>
            </w:pP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restart"/>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三、本年度办理结果</w:t>
            </w: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1</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hint="eastAsia" w:cs="Calibri"/>
                <w:kern w:val="0"/>
                <w:sz w:val="20"/>
                <w:szCs w:val="20"/>
                <w:lang w:val="en-US" w:eastAsia="zh-CN" w:bidi="ar"/>
              </w:rPr>
              <w:t>1</w:t>
            </w:r>
            <w:r>
              <w:rPr>
                <w:rFonts w:cs="Calibri"/>
                <w:kern w:val="0"/>
                <w:sz w:val="20"/>
                <w:szCs w:val="20"/>
                <w:lang w:bidi="ar"/>
              </w:rPr>
              <w:t> </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（三）不予公开</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8"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lang w:val="en-US"/>
              </w:rP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（四）无法提供</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（五）不予处理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2.重复申请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top"/>
          </w:tcPr>
          <w:p>
            <w:pPr>
              <w:widowControl/>
              <w:jc w:val="left"/>
            </w:pPr>
            <w:r>
              <w:rPr>
                <w:rFonts w:hint="eastAsia" w:ascii="宋体" w:hAnsi="宋体" w:cs="宋体"/>
                <w:kern w:val="0"/>
                <w:sz w:val="20"/>
                <w:szCs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5.要求行政机关确认或重新出具已获取信息</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inset"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restart"/>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（六）其他处理</w:t>
            </w: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pPr>
            <w:r>
              <w:rPr>
                <w:rFonts w:hint="eastAsia" w:ascii="宋体" w:hAnsi="宋体" w:cs="宋体"/>
                <w:kern w:val="0"/>
                <w:sz w:val="20"/>
                <w:szCs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943" w:type="dxa"/>
            <w:vMerge w:val="continue"/>
            <w:tcBorders>
              <w:top w:val="inset" w:color="auto" w:sz="8" w:space="0"/>
              <w:left w:val="single" w:color="auto" w:sz="0" w:space="0"/>
              <w:bottom w:val="inset" w:color="auto" w:sz="8" w:space="0"/>
              <w:right w:val="single" w:color="auto" w:sz="8" w:space="0"/>
            </w:tcBorders>
            <w:shd w:val="clear" w:color="auto" w:fill="DDEBF7"/>
            <w:tcMar>
              <w:left w:w="57" w:type="dxa"/>
              <w:right w:w="57" w:type="dxa"/>
            </w:tcMar>
            <w:vAlign w:val="center"/>
          </w:tcPr>
          <w:p>
            <w:pPr>
              <w:rPr>
                <w:rFonts w:ascii="Times New Roman" w:hAnsi="Times New Roman"/>
                <w:sz w:val="20"/>
                <w:szCs w:val="20"/>
              </w:rPr>
            </w:pPr>
          </w:p>
        </w:tc>
        <w:tc>
          <w:tcPr>
            <w:tcW w:w="3220" w:type="dxa"/>
            <w:tcBorders>
              <w:top w:val="single" w:color="auto" w:sz="0" w:space="0"/>
              <w:left w:val="single" w:color="auto" w:sz="0" w:space="0"/>
              <w:bottom w:val="singl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ascii="Calibri" w:hAnsi="Calibri" w:cs="Calibri"/>
                <w:kern w:val="0"/>
                <w:sz w:val="20"/>
                <w:szCs w:val="20"/>
                <w:lang w:val="en-US" w:eastAsia="zh-CN" w:bidi="ar"/>
              </w:rPr>
              <w:t>0</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cs="Calibri"/>
                <w:kern w:val="0"/>
                <w:sz w:val="20"/>
                <w:szCs w:val="20"/>
                <w:lang w:bidi="ar"/>
              </w:rPr>
              <w:t> </w:t>
            </w:r>
            <w:r>
              <w:rPr>
                <w:rFonts w:hint="eastAsia" w:ascii="Calibri" w:hAnsi="Calibri" w:cs="Calibri"/>
                <w:kern w:val="0"/>
                <w:sz w:val="20"/>
                <w:szCs w:val="20"/>
                <w:lang w:val="en-US" w:eastAsia="zh-CN" w:bidi="ar"/>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9" w:type="dxa"/>
            <w:vMerge w:val="continue"/>
            <w:tcBorders>
              <w:top w:val="single" w:color="auto" w:sz="0" w:space="0"/>
              <w:left w:val="single" w:color="auto" w:sz="8" w:space="0"/>
              <w:bottom w:val="inset" w:color="auto" w:sz="8" w:space="0"/>
              <w:right w:val="single" w:color="auto" w:sz="8" w:space="0"/>
            </w:tcBorders>
            <w:shd w:val="clear" w:color="auto" w:fill="BDD7EE"/>
            <w:tcMar>
              <w:left w:w="57" w:type="dxa"/>
              <w:right w:w="57" w:type="dxa"/>
            </w:tcMar>
            <w:vAlign w:val="center"/>
          </w:tcPr>
          <w:p>
            <w:pPr>
              <w:rPr>
                <w:rFonts w:ascii="Times New Roman" w:hAnsi="Times New Roman"/>
                <w:sz w:val="20"/>
                <w:szCs w:val="20"/>
              </w:rPr>
            </w:pPr>
          </w:p>
        </w:tc>
        <w:tc>
          <w:tcPr>
            <w:tcW w:w="4163" w:type="dxa"/>
            <w:gridSpan w:val="2"/>
            <w:tcBorders>
              <w:top w:val="single" w:color="auto" w:sz="0" w:space="0"/>
              <w:left w:val="single" w:color="auto" w:sz="0" w:space="0"/>
              <w:bottom w:val="wave" w:color="auto" w:sz="8" w:space="0"/>
              <w:right w:val="single" w:color="auto" w:sz="8" w:space="0"/>
            </w:tcBorders>
            <w:shd w:val="clear" w:color="auto" w:fill="DDEBF7"/>
            <w:tcMar>
              <w:left w:w="57" w:type="dxa"/>
              <w:right w:w="57" w:type="dxa"/>
            </w:tcMar>
            <w:vAlign w:val="center"/>
          </w:tcPr>
          <w:p>
            <w:pPr>
              <w:widowControl/>
              <w:jc w:val="left"/>
            </w:pPr>
            <w:r>
              <w:rPr>
                <w:rFonts w:hint="eastAsia" w:ascii="宋体" w:hAnsi="宋体" w:cs="宋体"/>
                <w:kern w:val="0"/>
                <w:sz w:val="20"/>
                <w:szCs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widowControl/>
              <w:jc w:val="center"/>
            </w:pPr>
            <w:r>
              <w:rPr>
                <w:rFonts w:hint="eastAsia" w:cs="Calibri"/>
                <w:kern w:val="0"/>
                <w:sz w:val="20"/>
                <w:szCs w:val="20"/>
                <w:lang w:val="en-US" w:eastAsia="zh-CN" w:bidi="ar"/>
              </w:rPr>
              <w:t>1</w:t>
            </w:r>
            <w:r>
              <w:rPr>
                <w:rFonts w:cs="Calibri"/>
                <w:kern w:val="0"/>
                <w:sz w:val="20"/>
                <w:szCs w:val="20"/>
                <w:lang w:bidi="ar"/>
              </w:rPr>
              <w:t> </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nil"/>
              <w:left w:val="nil"/>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88" w:type="dxa"/>
            <w:tcBorders>
              <w:top w:val="single" w:color="auto" w:sz="0" w:space="0"/>
              <w:left w:val="single" w:color="auto" w:sz="0" w:space="0"/>
              <w:bottom w:val="single" w:color="auto" w:sz="8" w:space="0"/>
              <w:right w:val="single" w:color="auto" w:sz="8" w:space="0"/>
            </w:tcBorders>
            <w:tcMar>
              <w:left w:w="57" w:type="dxa"/>
              <w:right w:w="57" w:type="dxa"/>
            </w:tcMar>
            <w:vAlign w:val="top"/>
          </w:tcPr>
          <w:p>
            <w:pPr>
              <w:widowControl/>
              <w:jc w:val="center"/>
            </w:pPr>
            <w:r>
              <w:rPr>
                <w:rFonts w:cs="Calibri"/>
                <w:kern w:val="0"/>
                <w:sz w:val="20"/>
                <w:szCs w:val="20"/>
                <w:lang w:bidi="ar"/>
              </w:rPr>
              <w:t> </w:t>
            </w:r>
            <w:r>
              <w:rPr>
                <w:rFonts w:hint="eastAsia" w:cs="Calibri"/>
                <w:kern w:val="0"/>
                <w:sz w:val="20"/>
                <w:szCs w:val="20"/>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2" w:type="dxa"/>
            <w:gridSpan w:val="3"/>
            <w:tcBorders>
              <w:top w:val="single" w:color="auto" w:sz="0" w:space="0"/>
              <w:left w:val="single" w:color="auto" w:sz="8" w:space="0"/>
              <w:bottom w:val="single" w:color="auto" w:sz="8" w:space="0"/>
              <w:right w:val="single" w:color="auto" w:sz="8" w:space="0"/>
            </w:tcBorders>
            <w:shd w:val="clear" w:color="auto" w:fill="BDD7EE"/>
            <w:tcMar>
              <w:left w:w="57" w:type="dxa"/>
              <w:right w:w="57" w:type="dxa"/>
            </w:tcMar>
            <w:vAlign w:val="center"/>
          </w:tcPr>
          <w:p>
            <w:pPr>
              <w:widowControl/>
              <w:jc w:val="left"/>
            </w:pPr>
            <w:r>
              <w:rPr>
                <w:rFonts w:hint="eastAsia" w:ascii="宋体" w:hAnsi="宋体" w:cs="宋体"/>
                <w:kern w:val="0"/>
                <w:sz w:val="20"/>
                <w:szCs w:val="20"/>
                <w:lang w:bidi="ar"/>
              </w:rPr>
              <w:t>四、结转下年度继续办理</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宋体" w:hAnsi="Times New Roman" w:eastAsia="宋体" w:cs="宋体"/>
                <w:sz w:val="24"/>
                <w:lang w:val="en-US" w:eastAsia="zh-CN"/>
              </w:rPr>
            </w:pPr>
            <w:r>
              <w:rPr>
                <w:rFonts w:hint="eastAsia" w:ascii="Calibri" w:hAnsi="Calibri"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Times New Roman" w:cs="宋体"/>
                <w:sz w:val="24"/>
              </w:rPr>
            </w:pPr>
            <w:r>
              <w:rPr>
                <w:rFonts w:hint="eastAsia" w:ascii="Calibri" w:hAnsi="Calibri" w:cs="Calibri"/>
                <w:kern w:val="0"/>
                <w:sz w:val="20"/>
                <w:szCs w:val="20"/>
                <w:lang w:val="en-US" w:eastAsia="zh-CN" w:bidi="ar"/>
              </w:rPr>
              <w:t>0</w:t>
            </w:r>
          </w:p>
        </w:tc>
        <w:tc>
          <w:tcPr>
            <w:tcW w:w="688" w:type="dxa"/>
            <w:tcBorders>
              <w:top w:val="inset" w:color="auto" w:sz="6" w:space="0"/>
              <w:left w:val="single" w:color="auto" w:sz="0" w:space="0"/>
              <w:bottom w:val="inset" w:color="auto" w:sz="6" w:space="0"/>
              <w:right w:val="in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Times New Roman" w:cs="宋体"/>
                <w:sz w:val="24"/>
              </w:rPr>
            </w:pPr>
            <w:r>
              <w:rPr>
                <w:rFonts w:hint="eastAsia"/>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Times New Roman" w:cs="宋体"/>
                <w:sz w:val="24"/>
              </w:rPr>
            </w:pPr>
            <w:r>
              <w:rPr>
                <w:rFonts w:hint="eastAsia"/>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Times New Roman" w:cs="宋体"/>
                <w:sz w:val="24"/>
              </w:rPr>
            </w:pPr>
            <w:r>
              <w:rPr>
                <w:rFonts w:hint="eastAsia"/>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eastAsia" w:ascii="宋体" w:hAnsi="Times New Roman" w:cs="宋体"/>
                <w:sz w:val="24"/>
              </w:rPr>
            </w:pPr>
            <w:r>
              <w:rPr>
                <w:rFonts w:hint="eastAsia"/>
                <w:lang w:val="en-US" w:eastAsia="zh-CN"/>
              </w:rPr>
              <w:t>0</w:t>
            </w:r>
          </w:p>
        </w:tc>
        <w:tc>
          <w:tcPr>
            <w:tcW w:w="688" w:type="dxa"/>
            <w:tcBorders>
              <w:top w:val="inset" w:color="auto" w:sz="6" w:space="0"/>
              <w:left w:val="single" w:color="auto" w:sz="0" w:space="0"/>
              <w:bottom w:val="inset" w:color="auto" w:sz="6" w:space="0"/>
              <w:right w:val="inset" w:color="auto" w:sz="6" w:space="0"/>
            </w:tcBorders>
            <w:vAlign w:val="center"/>
          </w:tcPr>
          <w:p>
            <w:pPr>
              <w:jc w:val="center"/>
              <w:rPr>
                <w:rFonts w:hint="eastAsia" w:ascii="宋体" w:hAnsi="Times New Roman" w:cs="宋体"/>
                <w:sz w:val="24"/>
              </w:rPr>
            </w:pPr>
            <w:r>
              <w:rPr>
                <w:rFonts w:hint="eastAsia" w:ascii="Calibri" w:hAnsi="Calibri" w:cs="Calibri"/>
                <w:kern w:val="0"/>
                <w:sz w:val="20"/>
                <w:szCs w:val="20"/>
                <w:lang w:val="en-US" w:eastAsia="zh-CN" w:bidi="ar"/>
              </w:rPr>
              <w:t>0</w:t>
            </w:r>
          </w:p>
        </w:tc>
      </w:tr>
    </w:tbl>
    <w:p>
      <w:pPr>
        <w:pStyle w:val="3"/>
        <w:widowControl/>
        <w:ind w:left="420" w:leftChars="200"/>
      </w:pPr>
    </w:p>
    <w:p>
      <w:pPr>
        <w:spacing w:line="560" w:lineRule="exact"/>
        <w:ind w:firstLine="640" w:firstLineChars="200"/>
        <w:rPr>
          <w:rFonts w:hint="eastAsia" w:ascii="黑体" w:hAnsi="宋体" w:eastAsia="黑体" w:cs="黑体"/>
          <w:sz w:val="32"/>
          <w:szCs w:val="32"/>
        </w:rPr>
      </w:pPr>
      <w:r>
        <w:rPr>
          <w:rFonts w:hint="eastAsia" w:ascii="黑体" w:hAnsi="宋体" w:eastAsia="黑体" w:cs="黑体"/>
          <w:sz w:val="32"/>
          <w:szCs w:val="32"/>
          <w:lang w:bidi="ar"/>
        </w:rPr>
        <w:t>四、政府信息公开行政复议、行政诉讼情况</w:t>
      </w:r>
    </w:p>
    <w:p>
      <w:pPr>
        <w:widowControl/>
        <w:jc w:val="center"/>
      </w:pPr>
    </w:p>
    <w:tbl>
      <w:tblPr>
        <w:tblStyle w:val="5"/>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
      <w:tblGrid>
        <w:gridCol w:w="650"/>
        <w:gridCol w:w="650"/>
        <w:gridCol w:w="650"/>
        <w:gridCol w:w="650"/>
        <w:gridCol w:w="650"/>
        <w:gridCol w:w="649"/>
        <w:gridCol w:w="649"/>
        <w:gridCol w:w="650"/>
        <w:gridCol w:w="650"/>
        <w:gridCol w:w="650"/>
        <w:gridCol w:w="650"/>
        <w:gridCol w:w="650"/>
        <w:gridCol w:w="650"/>
        <w:gridCol w:w="650"/>
        <w:gridCol w:w="650"/>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47" w:hRule="atLeast"/>
          <w:jc w:val="center"/>
        </w:trPr>
        <w:tc>
          <w:tcPr>
            <w:tcW w:w="3250"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行政复议</w:t>
            </w:r>
          </w:p>
        </w:tc>
        <w:tc>
          <w:tcPr>
            <w:tcW w:w="6498"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widowControl/>
              <w:jc w:val="center"/>
            </w:pPr>
            <w:r>
              <w:rPr>
                <w:rFonts w:hint="eastAsia" w:ascii="宋体" w:hAnsi="宋体" w:cs="宋体"/>
                <w:kern w:val="0"/>
                <w:sz w:val="20"/>
                <w:szCs w:val="20"/>
                <w:lang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结果维持</w:t>
            </w:r>
          </w:p>
        </w:tc>
        <w:tc>
          <w:tcPr>
            <w:tcW w:w="650"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widowControl/>
              <w:jc w:val="center"/>
            </w:pPr>
            <w:r>
              <w:rPr>
                <w:rFonts w:hint="eastAsia" w:ascii="宋体" w:hAnsi="宋体" w:cs="宋体"/>
                <w:kern w:val="0"/>
                <w:sz w:val="20"/>
                <w:szCs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未经复议直接起诉</w:t>
            </w:r>
          </w:p>
        </w:tc>
        <w:tc>
          <w:tcPr>
            <w:tcW w:w="3250"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widowControl/>
              <w:jc w:val="center"/>
            </w:pPr>
            <w:r>
              <w:rPr>
                <w:rFonts w:hint="eastAsia" w:ascii="宋体" w:hAnsi="宋体" w:cs="宋体"/>
                <w:kern w:val="0"/>
                <w:sz w:val="20"/>
                <w:szCs w:val="20"/>
                <w:lang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5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Times New Roman" w:hAnsi="Times New Roman"/>
                <w:sz w:val="20"/>
                <w:szCs w:val="20"/>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其他</w:t>
            </w:r>
            <w:r>
              <w:rPr>
                <w:rFonts w:hint="eastAsia" w:ascii="宋体" w:hAnsi="宋体" w:cs="宋体"/>
                <w:kern w:val="0"/>
                <w:sz w:val="20"/>
                <w:szCs w:val="20"/>
                <w:lang w:bidi="ar"/>
              </w:rPr>
              <w:br w:type="textWrapping"/>
            </w:r>
            <w:r>
              <w:rPr>
                <w:rFonts w:hint="eastAsia" w:ascii="宋体" w:hAnsi="宋体" w:cs="宋体"/>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维持</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结果</w:t>
            </w:r>
            <w:r>
              <w:rPr>
                <w:rFonts w:hint="eastAsia" w:ascii="宋体" w:hAnsi="宋体" w:cs="宋体"/>
                <w:kern w:val="0"/>
                <w:sz w:val="20"/>
                <w:szCs w:val="20"/>
                <w:lang w:bidi="ar"/>
              </w:rPr>
              <w:br w:type="textWrapping"/>
            </w:r>
            <w:r>
              <w:rPr>
                <w:rFonts w:hint="eastAsia" w:ascii="宋体" w:hAnsi="宋体" w:cs="宋体"/>
                <w:kern w:val="0"/>
                <w:sz w:val="20"/>
                <w:szCs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其他</w:t>
            </w:r>
            <w:r>
              <w:rPr>
                <w:rFonts w:hint="eastAsia" w:ascii="宋体" w:hAnsi="宋体" w:cs="宋体"/>
                <w:color w:val="000000"/>
                <w:kern w:val="0"/>
                <w:sz w:val="20"/>
                <w:szCs w:val="20"/>
                <w:lang w:bidi="ar"/>
              </w:rPr>
              <w:br w:type="textWrapping"/>
            </w:r>
            <w:r>
              <w:rPr>
                <w:rFonts w:hint="eastAsia" w:ascii="宋体" w:hAnsi="宋体" w:cs="宋体"/>
                <w:color w:val="000000"/>
                <w:kern w:val="0"/>
                <w:sz w:val="20"/>
                <w:szCs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kern w:val="0"/>
                <w:sz w:val="20"/>
                <w:szCs w:val="20"/>
                <w:lang w:bidi="ar"/>
              </w:rPr>
              <w:t>尚未</w:t>
            </w:r>
            <w:r>
              <w:rPr>
                <w:rFonts w:hint="eastAsia" w:ascii="宋体" w:hAnsi="宋体" w:cs="宋体"/>
                <w:kern w:val="0"/>
                <w:sz w:val="20"/>
                <w:szCs w:val="20"/>
                <w:lang w:bidi="ar"/>
              </w:rPr>
              <w:br w:type="textWrapping"/>
            </w:r>
            <w:r>
              <w:rPr>
                <w:rFonts w:hint="eastAsia" w:ascii="宋体" w:hAnsi="宋体" w:cs="宋体"/>
                <w:kern w:val="0"/>
                <w:sz w:val="20"/>
                <w:szCs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widowControl/>
              <w:jc w:val="center"/>
            </w:pPr>
            <w:r>
              <w:rPr>
                <w:rFonts w:hint="eastAsia" w:ascii="宋体" w:hAnsi="宋体" w:cs="宋体"/>
                <w:color w:val="000000"/>
                <w:kern w:val="0"/>
                <w:sz w:val="20"/>
                <w:szCs w:val="20"/>
                <w:lang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49"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default" w:ascii="Calibri" w:hAnsi="Calibri" w:cs="Calibri"/>
                <w:kern w:val="0"/>
                <w:sz w:val="20"/>
                <w:szCs w:val="20"/>
                <w:lang w:val="en-US" w:eastAsia="zh-CN" w:bidi="ar"/>
              </w:rPr>
              <w:t> </w:t>
            </w: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ascii="Calibri" w:hAnsi="Calibri" w:cs="Calibri"/>
                <w:kern w:val="0"/>
                <w:sz w:val="20"/>
                <w:szCs w:val="20"/>
                <w:lang w:val="en-US" w:eastAsia="zh-CN" w:bidi="ar"/>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uto"/>
              <w:ind w:left="0" w:leftChars="0" w:right="0" w:rightChars="0"/>
              <w:jc w:val="center"/>
            </w:pPr>
            <w:r>
              <w:rPr>
                <w:rFonts w:hint="eastAsia"/>
                <w:lang w:val="en-US" w:eastAsia="zh-CN"/>
              </w:rPr>
              <w:t>0</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jc w:val="center"/>
              <w:rPr>
                <w:rFonts w:hint="eastAsia" w:ascii="宋体" w:hAnsi="Times New Roman" w:cs="宋体"/>
                <w:sz w:val="24"/>
              </w:rPr>
            </w:pPr>
            <w:r>
              <w:rPr>
                <w:rFonts w:hint="eastAsia"/>
                <w:lang w:val="en-US" w:eastAsia="zh-CN"/>
              </w:rPr>
              <w:t>0</w:t>
            </w:r>
          </w:p>
        </w:tc>
      </w:tr>
    </w:tbl>
    <w:p>
      <w:pPr>
        <w:widowControl/>
        <w:jc w:val="left"/>
      </w:pPr>
    </w:p>
    <w:p>
      <w:pPr>
        <w:widowControl/>
        <w:spacing w:line="560" w:lineRule="exact"/>
        <w:ind w:firstLine="672" w:firstLineChars="200"/>
        <w:jc w:val="left"/>
        <w:rPr>
          <w:rFonts w:hint="eastAsia" w:ascii="宋体" w:hAnsi="宋体" w:cs="宋体"/>
          <w:spacing w:val="8"/>
          <w:kern w:val="0"/>
          <w:sz w:val="24"/>
        </w:rPr>
      </w:pPr>
      <w:r>
        <w:rPr>
          <w:rFonts w:hint="eastAsia" w:ascii="黑体" w:hAnsi="宋体" w:eastAsia="黑体" w:cs="宋体"/>
          <w:spacing w:val="8"/>
          <w:kern w:val="0"/>
          <w:sz w:val="32"/>
          <w:szCs w:val="32"/>
          <w:lang w:bidi="ar"/>
        </w:rPr>
        <w:t>五、存在的主要问题及改进情况</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大兴区水务局政府信息公开工作还存在不足：政府信息公开工作人员专业水平还需进一步提升，主动公开力度仍需加强。</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整改措施：区水务局持续强化政务公开工作队伍建设，压紧压实职责分工，加大工作培训力度，提升队伍综合素养，统筹协调，加强部门协同，更好地完成水务局政府信息公开工作。丰富主动公开形式，拓宽信息公开渠道，</w:t>
      </w:r>
      <w:bookmarkStart w:id="0" w:name="_GoBack"/>
      <w:bookmarkEnd w:id="0"/>
      <w:r>
        <w:rPr>
          <w:rFonts w:hint="eastAsia" w:ascii="仿宋_GB2312" w:hAnsi="仿宋_GB2312" w:eastAsia="仿宋_GB2312" w:cs="仿宋_GB2312"/>
          <w:sz w:val="32"/>
          <w:szCs w:val="32"/>
          <w:lang w:val="en-US" w:eastAsia="zh-CN"/>
        </w:rPr>
        <w:t>通过区水务局宣传矩阵，多角度、多维度回应群众关切。</w:t>
      </w:r>
    </w:p>
    <w:p>
      <w:pPr>
        <w:widowControl/>
        <w:spacing w:line="560" w:lineRule="exact"/>
        <w:ind w:firstLine="675"/>
        <w:jc w:val="left"/>
        <w:rPr>
          <w:rFonts w:ascii="宋体" w:hAnsi="宋体" w:cs="宋体"/>
          <w:spacing w:val="8"/>
          <w:kern w:val="0"/>
          <w:sz w:val="32"/>
          <w:szCs w:val="32"/>
        </w:rPr>
      </w:pPr>
      <w:r>
        <w:rPr>
          <w:rFonts w:ascii="黑体" w:hAnsi="黑体" w:eastAsia="黑体" w:cs="宋体"/>
          <w:spacing w:val="8"/>
          <w:kern w:val="0"/>
          <w:sz w:val="32"/>
          <w:szCs w:val="32"/>
        </w:rPr>
        <w:t>六、其他需要报告的事项</w:t>
      </w:r>
    </w:p>
    <w:p>
      <w:pPr>
        <w:widowControl/>
        <w:spacing w:line="560" w:lineRule="exact"/>
        <w:jc w:val="left"/>
        <w:rPr>
          <w:rFonts w:hint="eastAsia" w:ascii="仿宋_GB2312" w:hAnsi="仿宋_GB2312" w:eastAsia="仿宋_GB2312" w:cs="仿宋_GB2312"/>
          <w:sz w:val="32"/>
          <w:szCs w:val="32"/>
          <w:lang w:val="en-US" w:eastAsia="zh-CN"/>
        </w:rPr>
      </w:pPr>
      <w:r>
        <w:rPr>
          <w:rFonts w:ascii="宋体" w:hAnsi="宋体" w:cs="宋体"/>
          <w:spacing w:val="8"/>
          <w:kern w:val="0"/>
          <w:sz w:val="32"/>
          <w:szCs w:val="32"/>
        </w:rPr>
        <w:t>　　</w:t>
      </w:r>
      <w:r>
        <w:rPr>
          <w:rFonts w:hint="eastAsia" w:ascii="仿宋_GB2312" w:hAnsi="仿宋_GB2312" w:eastAsia="仿宋_GB2312" w:cs="仿宋_GB2312"/>
          <w:sz w:val="32"/>
          <w:szCs w:val="32"/>
          <w:lang w:val="en-US" w:eastAsia="zh-CN"/>
        </w:rPr>
        <w:t>我单位本年度发出收费通知的件数和总金额以及实际收取的总金额均为0。</w:t>
      </w:r>
    </w:p>
    <w:p>
      <w:pPr>
        <w:pStyle w:val="3"/>
        <w:spacing w:line="560" w:lineRule="exact"/>
        <w:rPr>
          <w:rFonts w:hint="eastAsia"/>
          <w:highlight w:val="none"/>
        </w:rPr>
      </w:pPr>
      <w:r>
        <w:rPr>
          <w:rFonts w:hint="eastAsia" w:ascii="微软雅黑" w:hAnsi="微软雅黑" w:eastAsia="微软雅黑" w:cs="宋体"/>
          <w:color w:val="404040"/>
          <w:kern w:val="0"/>
          <w:sz w:val="32"/>
          <w:szCs w:val="32"/>
        </w:rPr>
        <w:t xml:space="preserve"> </w:t>
      </w:r>
    </w:p>
    <w:p>
      <w:pPr>
        <w:pStyle w:val="3"/>
        <w:spacing w:line="560" w:lineRule="exact"/>
        <w:rPr>
          <w:rFonts w:hint="eastAsia"/>
          <w:highlight w:val="none"/>
        </w:rPr>
      </w:pPr>
    </w:p>
    <w:p>
      <w:pPr>
        <w:pStyle w:val="3"/>
        <w:spacing w:line="560" w:lineRule="exact"/>
        <w:rPr>
          <w:rFonts w:hint="eastAsia"/>
          <w:highlight w:val="none"/>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黑体" w:hAnsi="黑体" w:eastAsia="黑体" w:cs="黑体"/>
          <w:color w:val="000000"/>
          <w:sz w:val="32"/>
          <w:szCs w:val="32"/>
          <w:highlight w:val="none"/>
          <w:lang w:val="en-US" w:eastAsia="zh-CN"/>
        </w:rPr>
      </w:pPr>
    </w:p>
    <w:p/>
    <w:sectPr>
      <w:pgSz w:w="11906" w:h="16838"/>
      <w:pgMar w:top="2098" w:right="1474" w:bottom="1984"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A9DE897"/>
    <w:multiLevelType w:val="multilevel"/>
    <w:tmpl w:val="BA9DE897"/>
    <w:lvl w:ilvl="0" w:tentative="0">
      <w:start w:val="2"/>
      <w:numFmt w:val="chineseCounting"/>
      <w:suff w:val="nothing"/>
      <w:lvlText w:val="%1、"/>
      <w:lvlJc w:val="left"/>
      <w:pPr>
        <w:ind w:left="-10" w:firstLine="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5A3075"/>
    <w:rsid w:val="19BC2211"/>
    <w:rsid w:val="1DAD4B0F"/>
    <w:rsid w:val="29FA731D"/>
    <w:rsid w:val="2D915241"/>
    <w:rsid w:val="3A1F5580"/>
    <w:rsid w:val="3CF75648"/>
    <w:rsid w:val="455A3075"/>
    <w:rsid w:val="4C33192A"/>
    <w:rsid w:val="6D010B95"/>
    <w:rsid w:val="797F4B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Body Text Indent 2"/>
    <w:basedOn w:val="1"/>
    <w:qFormat/>
    <w:uiPriority w:val="0"/>
    <w:pPr>
      <w:spacing w:after="120" w:line="480" w:lineRule="auto"/>
      <w:ind w:left="420" w:leftChars="200"/>
    </w:pPr>
  </w:style>
  <w:style w:type="paragraph" w:styleId="3">
    <w:name w:val="Plain Text"/>
    <w:basedOn w:val="1"/>
    <w:qFormat/>
    <w:uiPriority w:val="0"/>
    <w:rPr>
      <w:rFonts w:ascii="宋体" w:hAnsi="Courier New"/>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2024-01-16T07:44:00Z</dcterms:created>
  <dc:creator>水务局公文</dc:creator>
  <cp:lastModifiedBy>shen</cp:lastModifiedBy>
  <dcterms:modified xsi:type="dcterms:W3CDTF">2024-01-23T06:27:10Z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ies>
</file>