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bidi="ar"/>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北京市大兴区退役军人事务局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spacing w:line="560" w:lineRule="exact"/>
        <w:jc w:val="both"/>
        <w:rPr>
          <w:rFonts w:hint="eastAsia" w:ascii="仿宋_GB2312" w:hAnsi="宋体" w:eastAsia="仿宋_GB2312" w:cs="宋体"/>
          <w:spacing w:val="8"/>
          <w:kern w:val="0"/>
          <w:sz w:val="32"/>
          <w:szCs w:val="32"/>
          <w:lang w:bidi="ar"/>
        </w:rPr>
      </w:pPr>
    </w:p>
    <w:p>
      <w:pPr>
        <w:spacing w:line="560" w:lineRule="exact"/>
        <w:ind w:firstLine="672" w:firstLineChars="200"/>
        <w:jc w:val="both"/>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color w:val="auto"/>
          <w:spacing w:val="8"/>
          <w:kern w:val="0"/>
          <w:sz w:val="32"/>
          <w:szCs w:val="32"/>
          <w:lang w:bidi="ar"/>
        </w:rPr>
      </w:pPr>
      <w:r>
        <w:rPr>
          <w:rFonts w:hint="eastAsia" w:ascii="黑体" w:hAnsi="宋体" w:eastAsia="黑体" w:cs="宋体"/>
          <w:color w:val="auto"/>
          <w:spacing w:val="8"/>
          <w:kern w:val="0"/>
          <w:sz w:val="32"/>
          <w:szCs w:val="32"/>
          <w:lang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组织领导</w:t>
      </w:r>
      <w:r>
        <w:rPr>
          <w:rFonts w:hint="eastAsia" w:ascii="仿宋_GB2312" w:hAnsi="仿宋_GB2312" w:eastAsia="仿宋_GB2312" w:cs="仿宋_GB2312"/>
          <w:b/>
          <w:bCs/>
          <w:color w:val="auto"/>
          <w:sz w:val="32"/>
          <w:szCs w:val="32"/>
          <w:highlight w:val="none"/>
          <w:lang w:eastAsia="zh-CN"/>
        </w:rPr>
        <w:t>。</w:t>
      </w:r>
      <w:r>
        <w:rPr>
          <w:rFonts w:hint="eastAsia" w:ascii="仿宋_GB2312" w:eastAsia="仿宋_GB2312" w:hAnsiTheme="minorHAnsi" w:cstheme="minorBidi"/>
          <w:color w:val="auto"/>
          <w:kern w:val="2"/>
          <w:sz w:val="32"/>
          <w:szCs w:val="32"/>
          <w:lang w:val="en-US" w:eastAsia="zh-CN" w:bidi="ar-SA"/>
        </w:rPr>
        <w:t>根据《中华人民共和国政府信息公开条例》要求，严格履行政府信息公开各项规章制度，为深入开展好各项政务公开工作，成立政务公开工作领导小组，由党组书记、局长担任组长，党组成员任副组长，各科室负责人任成员。领导小组下设办公室，负责开展组织协调、监督落实等日常工作，并责成专人具体负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default" w:ascii="仿宋_GB2312" w:hAnsi="宋体" w:eastAsia="仿宋_GB2312" w:cs="宋体"/>
          <w:color w:val="auto"/>
          <w:kern w:val="0"/>
          <w:sz w:val="32"/>
          <w:szCs w:val="32"/>
          <w:lang w:val="en-US" w:eastAsia="zh-CN"/>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主动公开</w:t>
      </w:r>
      <w:r>
        <w:rPr>
          <w:rFonts w:hint="eastAsia" w:ascii="仿宋_GB2312" w:hAnsi="仿宋_GB2312" w:eastAsia="仿宋_GB2312" w:cs="仿宋_GB2312"/>
          <w:b/>
          <w:bCs/>
          <w:color w:val="auto"/>
          <w:sz w:val="32"/>
          <w:szCs w:val="32"/>
          <w:highlight w:val="none"/>
          <w:lang w:eastAsia="zh-CN"/>
        </w:rPr>
        <w:t>。</w:t>
      </w:r>
      <w:r>
        <w:rPr>
          <w:rFonts w:hint="eastAsia" w:ascii="仿宋_GB2312" w:eastAsia="仿宋_GB2312" w:hAnsiTheme="minorEastAsia"/>
          <w:color w:val="auto"/>
          <w:sz w:val="32"/>
          <w:szCs w:val="32"/>
        </w:rPr>
        <w:t>本报告中所列数据的统计期限自</w:t>
      </w:r>
      <w:r>
        <w:rPr>
          <w:rFonts w:hint="eastAsia" w:ascii="仿宋_GB2312" w:eastAsia="仿宋_GB2312" w:hAnsiTheme="minorEastAsia"/>
          <w:color w:val="auto"/>
          <w:sz w:val="32"/>
          <w:szCs w:val="32"/>
          <w:lang w:val="en-US" w:eastAsia="zh-CN"/>
        </w:rPr>
        <w:t>2023</w:t>
      </w:r>
      <w:r>
        <w:rPr>
          <w:rFonts w:hint="eastAsia" w:ascii="仿宋_GB2312" w:eastAsia="仿宋_GB2312" w:hAnsiTheme="minorEastAsia"/>
          <w:color w:val="auto"/>
          <w:sz w:val="32"/>
          <w:szCs w:val="32"/>
        </w:rPr>
        <w:t>年1月1日起至</w:t>
      </w:r>
      <w:r>
        <w:rPr>
          <w:rFonts w:hint="eastAsia" w:ascii="仿宋_GB2312" w:eastAsia="仿宋_GB2312" w:hAnsiTheme="minorEastAsia"/>
          <w:color w:val="auto"/>
          <w:sz w:val="32"/>
          <w:szCs w:val="32"/>
          <w:lang w:val="en-US" w:eastAsia="zh-CN"/>
        </w:rPr>
        <w:t>2023</w:t>
      </w:r>
      <w:r>
        <w:rPr>
          <w:rFonts w:hint="eastAsia" w:ascii="仿宋_GB2312" w:eastAsia="仿宋_GB2312" w:hAnsiTheme="minorEastAsia"/>
          <w:color w:val="auto"/>
          <w:sz w:val="32"/>
          <w:szCs w:val="32"/>
        </w:rPr>
        <w:t>年12月31日止。</w:t>
      </w:r>
      <w:r>
        <w:rPr>
          <w:rFonts w:hint="eastAsia" w:ascii="仿宋_GB2312" w:hAnsi="宋体" w:eastAsia="仿宋_GB2312" w:cs="宋体"/>
          <w:color w:val="auto"/>
          <w:kern w:val="0"/>
          <w:sz w:val="32"/>
          <w:szCs w:val="32"/>
        </w:rPr>
        <w:t>20</w:t>
      </w:r>
      <w:r>
        <w:rPr>
          <w:rFonts w:hint="eastAsia" w:ascii="仿宋_GB2312" w:hAnsi="宋体" w:eastAsia="仿宋_GB2312" w:cs="宋体"/>
          <w:color w:val="auto"/>
          <w:kern w:val="0"/>
          <w:sz w:val="32"/>
          <w:szCs w:val="32"/>
          <w:lang w:val="en-US" w:eastAsia="zh-CN"/>
        </w:rPr>
        <w:t>23</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eastAsia="zh-CN"/>
        </w:rPr>
        <w:t>我</w:t>
      </w:r>
      <w:r>
        <w:rPr>
          <w:rFonts w:hint="eastAsia" w:ascii="仿宋_GB2312" w:hAnsi="宋体" w:eastAsia="仿宋_GB2312" w:cs="宋体"/>
          <w:color w:val="auto"/>
          <w:kern w:val="0"/>
          <w:sz w:val="32"/>
          <w:szCs w:val="32"/>
        </w:rPr>
        <w:t>局政府信息公开工作运行正常，</w:t>
      </w:r>
      <w:r>
        <w:rPr>
          <w:rFonts w:hint="eastAsia" w:ascii="仿宋_GB2312" w:eastAsia="仿宋_GB2312" w:hAnsiTheme="minorEastAsia"/>
          <w:color w:val="auto"/>
          <w:sz w:val="32"/>
          <w:szCs w:val="32"/>
        </w:rPr>
        <w:t>通过政府网站</w:t>
      </w:r>
      <w:r>
        <w:rPr>
          <w:rFonts w:hint="eastAsia" w:ascii="仿宋_GB2312" w:eastAsia="仿宋_GB2312" w:hAnsiTheme="minorEastAsia"/>
          <w:color w:val="auto"/>
          <w:sz w:val="32"/>
          <w:szCs w:val="32"/>
          <w:lang w:eastAsia="zh-CN"/>
        </w:rPr>
        <w:t>、微信公众号等媒体</w:t>
      </w:r>
      <w:r>
        <w:rPr>
          <w:rFonts w:hint="eastAsia" w:ascii="仿宋_GB2312" w:hAnsi="宋体" w:eastAsia="仿宋_GB2312" w:cs="宋体"/>
          <w:color w:val="auto"/>
          <w:kern w:val="0"/>
          <w:sz w:val="32"/>
          <w:szCs w:val="32"/>
          <w:lang w:eastAsia="zh-CN"/>
        </w:rPr>
        <w:t>主动公开</w:t>
      </w:r>
      <w:r>
        <w:rPr>
          <w:rFonts w:hint="eastAsia" w:ascii="仿宋_GB2312" w:hAnsi="宋体" w:eastAsia="仿宋_GB2312" w:cs="宋体"/>
          <w:color w:val="auto"/>
          <w:kern w:val="0"/>
          <w:sz w:val="32"/>
          <w:szCs w:val="32"/>
        </w:rPr>
        <w:t>局领导</w:t>
      </w:r>
      <w:r>
        <w:rPr>
          <w:rFonts w:hint="eastAsia" w:ascii="仿宋_GB2312" w:hAnsi="宋体" w:eastAsia="仿宋_GB2312" w:cs="宋体"/>
          <w:color w:val="auto"/>
          <w:kern w:val="0"/>
          <w:sz w:val="32"/>
          <w:szCs w:val="32"/>
          <w:lang w:eastAsia="zh-CN"/>
        </w:rPr>
        <w:t>简介、内设机构、法定</w:t>
      </w:r>
      <w:r>
        <w:rPr>
          <w:rFonts w:hint="eastAsia" w:ascii="仿宋_GB2312" w:hAnsi="宋体" w:eastAsia="仿宋_GB2312" w:cs="宋体"/>
          <w:color w:val="auto"/>
          <w:kern w:val="0"/>
          <w:sz w:val="32"/>
          <w:szCs w:val="32"/>
        </w:rPr>
        <w:t>职责</w:t>
      </w:r>
      <w:r>
        <w:rPr>
          <w:rFonts w:hint="eastAsia" w:ascii="仿宋_GB2312" w:hAnsi="宋体" w:eastAsia="仿宋_GB2312" w:cs="宋体"/>
          <w:color w:val="auto"/>
          <w:kern w:val="0"/>
          <w:sz w:val="32"/>
          <w:szCs w:val="32"/>
          <w:lang w:eastAsia="zh-CN"/>
        </w:rPr>
        <w:t>和预决算、政府信息公开指南、工作信息等重点领域信息，在区政府网站公开工作信息</w:t>
      </w:r>
      <w:r>
        <w:rPr>
          <w:rFonts w:hint="eastAsia" w:ascii="仿宋_GB2312" w:hAnsi="宋体" w:eastAsia="仿宋_GB2312" w:cs="宋体"/>
          <w:color w:val="auto"/>
          <w:kern w:val="0"/>
          <w:sz w:val="32"/>
          <w:szCs w:val="32"/>
          <w:lang w:val="en-US" w:eastAsia="zh-CN"/>
        </w:rPr>
        <w:t>25篇。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hAnsiTheme="minorEastAsia"/>
          <w:color w:val="auto"/>
          <w:sz w:val="32"/>
          <w:szCs w:val="32"/>
          <w:lang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依申请公开</w:t>
      </w:r>
      <w:r>
        <w:rPr>
          <w:rFonts w:hint="eastAsia" w:ascii="仿宋_GB2312" w:hAnsi="仿宋_GB2312" w:eastAsia="仿宋_GB2312" w:cs="仿宋_GB2312"/>
          <w:b/>
          <w:bCs/>
          <w:color w:val="auto"/>
          <w:sz w:val="32"/>
          <w:szCs w:val="32"/>
          <w:highlight w:val="none"/>
          <w:lang w:eastAsia="zh-CN"/>
        </w:rPr>
        <w:t>。</w:t>
      </w:r>
      <w:r>
        <w:rPr>
          <w:rFonts w:hint="eastAsia" w:ascii="仿宋_GB2312" w:eastAsia="仿宋_GB2312" w:hAnsiTheme="minorEastAsia"/>
          <w:color w:val="auto"/>
          <w:sz w:val="32"/>
          <w:szCs w:val="32"/>
          <w:lang w:val="en-US" w:eastAsia="zh-CN"/>
        </w:rPr>
        <w:t>2023</w:t>
      </w:r>
      <w:r>
        <w:rPr>
          <w:rFonts w:hint="eastAsia" w:ascii="仿宋_GB2312" w:eastAsia="仿宋_GB2312" w:hAnsiTheme="minorEastAsia"/>
          <w:color w:val="auto"/>
          <w:sz w:val="32"/>
          <w:szCs w:val="32"/>
        </w:rPr>
        <w:t>年度本单位共收到各类政府信息公开申请</w:t>
      </w:r>
      <w:r>
        <w:rPr>
          <w:rFonts w:hint="eastAsia" w:ascii="仿宋_GB2312" w:eastAsia="仿宋_GB2312" w:hAnsiTheme="minorEastAsia"/>
          <w:color w:val="auto"/>
          <w:sz w:val="32"/>
          <w:szCs w:val="32"/>
          <w:lang w:val="en-US" w:eastAsia="zh-CN"/>
        </w:rPr>
        <w:t>1</w:t>
      </w:r>
      <w:r>
        <w:rPr>
          <w:rFonts w:hint="eastAsia" w:ascii="仿宋_GB2312" w:eastAsia="仿宋_GB2312" w:hAnsiTheme="minorEastAsia"/>
          <w:color w:val="auto"/>
          <w:sz w:val="32"/>
          <w:szCs w:val="32"/>
        </w:rPr>
        <w:t>件</w:t>
      </w:r>
      <w:r>
        <w:rPr>
          <w:rFonts w:hint="eastAsia" w:ascii="仿宋_GB2312" w:eastAsia="仿宋_GB2312" w:hAnsiTheme="minorEastAsia"/>
          <w:color w:val="auto"/>
          <w:sz w:val="32"/>
          <w:szCs w:val="32"/>
          <w:lang w:eastAsia="zh-CN"/>
        </w:rPr>
        <w:t>，并严格按照依申请公开办理流程，受理依申请公开件，因申请</w:t>
      </w:r>
      <w:r>
        <w:rPr>
          <w:rFonts w:hint="eastAsia" w:ascii="仿宋" w:hAnsi="仿宋" w:eastAsia="仿宋" w:cs="仿宋"/>
          <w:color w:val="auto"/>
          <w:sz w:val="32"/>
          <w:szCs w:val="32"/>
          <w:lang w:eastAsia="zh-CN"/>
        </w:rPr>
        <w:t>内容</w:t>
      </w:r>
      <w:r>
        <w:rPr>
          <w:rFonts w:hint="eastAsia" w:ascii="仿宋" w:hAnsi="仿宋" w:eastAsia="仿宋" w:cs="仿宋"/>
          <w:color w:val="auto"/>
          <w:sz w:val="32"/>
          <w:szCs w:val="32"/>
          <w:lang w:val="en-US" w:eastAsia="zh-CN"/>
        </w:rPr>
        <w:t>涉及国家秘</w:t>
      </w:r>
      <w:r>
        <w:rPr>
          <w:rFonts w:hint="eastAsia" w:ascii="仿宋" w:hAnsi="仿宋" w:eastAsia="仿宋" w:cs="仿宋"/>
          <w:color w:val="auto"/>
          <w:sz w:val="32"/>
          <w:szCs w:val="32"/>
          <w:lang w:eastAsia="zh-CN"/>
        </w:rPr>
        <w:t>密，不予公开</w:t>
      </w:r>
      <w:r>
        <w:rPr>
          <w:rFonts w:hint="eastAsia" w:ascii="仿宋_GB2312" w:eastAsia="仿宋_GB2312" w:hAnsiTheme="minorEastAsia"/>
          <w:color w:val="auto"/>
          <w:sz w:val="32"/>
          <w:szCs w:val="32"/>
          <w:lang w:eastAsia="zh-CN"/>
        </w:rPr>
        <w:t>。同时出具答复告知书，告知申请人。</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政府信息管理</w:t>
      </w:r>
      <w:r>
        <w:rPr>
          <w:rFonts w:hint="eastAsia" w:ascii="仿宋_GB2312" w:hAnsi="仿宋_GB2312" w:eastAsia="仿宋_GB2312" w:cs="仿宋_GB2312"/>
          <w:b/>
          <w:bCs/>
          <w:color w:val="auto"/>
          <w:sz w:val="32"/>
          <w:szCs w:val="32"/>
          <w:highlight w:val="none"/>
          <w:lang w:eastAsia="zh-CN"/>
        </w:rPr>
        <w:t>。</w:t>
      </w:r>
      <w:r>
        <w:rPr>
          <w:rFonts w:hint="eastAsia" w:ascii="仿宋_GB2312" w:hAnsi="宋体" w:eastAsia="仿宋_GB2312" w:cs="宋体"/>
          <w:spacing w:val="8"/>
          <w:kern w:val="0"/>
          <w:sz w:val="32"/>
          <w:szCs w:val="32"/>
          <w:lang w:eastAsia="zh-CN"/>
        </w:rPr>
        <w:t>严格按照《政府信息公开条例》相关要求，对政府信息的公开属性、内容、方式等进行全流程审查</w:t>
      </w:r>
      <w:r>
        <w:rPr>
          <w:rFonts w:hint="eastAsia" w:ascii="仿宋_GB2312" w:hAnsi="宋体" w:eastAsia="仿宋_GB2312" w:cs="宋体"/>
          <w:spacing w:val="0"/>
          <w:kern w:val="0"/>
          <w:sz w:val="32"/>
          <w:szCs w:val="32"/>
        </w:rPr>
        <w:t>，</w:t>
      </w:r>
      <w:r>
        <w:rPr>
          <w:rFonts w:hint="eastAsia" w:ascii="仿宋_GB2312" w:eastAsia="仿宋_GB2312" w:hAnsiTheme="minorEastAsia"/>
          <w:color w:val="auto"/>
          <w:sz w:val="32"/>
          <w:szCs w:val="32"/>
          <w:lang w:val="en-US" w:eastAsia="zh-CN"/>
        </w:rPr>
        <w:t>结合实际工作开展修改、完善本单位政务公开全清单，</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对</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事项要素</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的</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规范性、完备性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逻辑性</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等方面进行全面自查</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和修改。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（五）政府信息公开</w:t>
      </w:r>
      <w:r>
        <w:rPr>
          <w:rFonts w:hint="eastAsia" w:ascii="仿宋_GB2312" w:hAnsi="仿宋_GB2312" w:eastAsia="仿宋_GB2312" w:cs="仿宋_GB2312"/>
          <w:b/>
          <w:bCs/>
          <w:color w:val="auto"/>
          <w:sz w:val="32"/>
          <w:szCs w:val="32"/>
          <w:highlight w:val="none"/>
        </w:rPr>
        <w:t>平台建设</w:t>
      </w:r>
      <w:r>
        <w:rPr>
          <w:rFonts w:hint="eastAsia" w:ascii="仿宋_GB2312" w:hAnsi="仿宋_GB2312" w:eastAsia="仿宋_GB2312" w:cs="仿宋_GB2312"/>
          <w:b/>
          <w:bCs/>
          <w:color w:val="auto"/>
          <w:sz w:val="32"/>
          <w:szCs w:val="32"/>
          <w:highlight w:val="none"/>
          <w:lang w:eastAsia="zh-CN"/>
        </w:rPr>
        <w:t>。</w:t>
      </w:r>
      <w:r>
        <w:rPr>
          <w:rFonts w:hint="eastAsia" w:ascii="仿宋_GB2312" w:eastAsia="仿宋_GB2312" w:cs="Times New Roman" w:hAnsiTheme="minorEastAsia"/>
          <w:color w:val="auto"/>
          <w:sz w:val="32"/>
          <w:szCs w:val="32"/>
          <w:lang w:val="en-US" w:eastAsia="zh-CN"/>
        </w:rPr>
        <w:t>2023年我局政务新</w:t>
      </w:r>
      <w:r>
        <w:rPr>
          <w:rFonts w:hint="eastAsia" w:ascii="仿宋_GB2312" w:eastAsia="仿宋_GB2312" w:hAnsiTheme="minorEastAsia"/>
          <w:color w:val="auto"/>
          <w:sz w:val="32"/>
          <w:szCs w:val="32"/>
          <w:lang w:val="en-US" w:eastAsia="zh-CN"/>
        </w:rPr>
        <w:t>媒体运营得到不断优化</w:t>
      </w:r>
      <w:r>
        <w:rPr>
          <w:rFonts w:hint="eastAsia" w:ascii="仿宋_GB2312" w:eastAsia="仿宋_GB2312" w:hAnsiTheme="minorEastAsia"/>
          <w:color w:val="auto"/>
          <w:sz w:val="32"/>
          <w:szCs w:val="32"/>
          <w:highlight w:val="none"/>
          <w:lang w:val="en-US" w:eastAsia="zh-CN"/>
        </w:rPr>
        <w:t>，由专人负责政务新媒体运维管理等工作。信息发布须经主管领导审核把关，确保信息公开及时全面、完整准确。本年度共发布信息131条，移动端使用次数112630次，能够确保平均每周2条以上信息更新，月均浏览次数达9385次，</w:t>
      </w:r>
      <w:r>
        <w:rPr>
          <w:rFonts w:hint="eastAsia" w:ascii="仿宋_GB2312" w:eastAsia="仿宋_GB2312" w:hAnsiTheme="minorEastAsia"/>
          <w:color w:val="auto"/>
          <w:sz w:val="32"/>
          <w:szCs w:val="32"/>
          <w:lang w:val="en-US" w:eastAsia="zh-CN"/>
        </w:rPr>
        <w:t>并按时报送政务新媒体信息更新报备表。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color w:val="auto"/>
          <w:spacing w:val="8"/>
          <w:kern w:val="0"/>
          <w:sz w:val="32"/>
          <w:szCs w:val="32"/>
        </w:rPr>
      </w:pP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教育培训</w:t>
      </w:r>
      <w:r>
        <w:rPr>
          <w:rFonts w:hint="eastAsia" w:ascii="仿宋_GB2312" w:hAnsi="仿宋_GB2312" w:eastAsia="仿宋_GB2312" w:cs="仿宋_GB2312"/>
          <w:b/>
          <w:bCs/>
          <w:color w:val="auto"/>
          <w:sz w:val="32"/>
          <w:szCs w:val="32"/>
          <w:highlight w:val="none"/>
          <w:lang w:eastAsia="zh-CN"/>
        </w:rPr>
        <w:t>。</w:t>
      </w:r>
      <w:r>
        <w:rPr>
          <w:rFonts w:hint="eastAsia" w:ascii="仿宋_GB2312" w:eastAsia="仿宋_GB2312" w:hAnsiTheme="minorEastAsia"/>
          <w:color w:val="auto"/>
          <w:sz w:val="32"/>
          <w:szCs w:val="32"/>
          <w:lang w:val="en-US" w:eastAsia="zh-CN"/>
        </w:rPr>
        <w:t>积极组织本单位工作人员学习政务公开相</w:t>
      </w:r>
      <w:r>
        <w:rPr>
          <w:rFonts w:hint="eastAsia" w:ascii="仿宋_GB2312" w:hAnsi="仿宋_GB2312" w:eastAsia="仿宋_GB2312" w:cs="仿宋_GB2312"/>
          <w:color w:val="auto"/>
          <w:sz w:val="32"/>
          <w:szCs w:val="32"/>
          <w:lang w:val="en-US" w:eastAsia="zh-CN"/>
        </w:rPr>
        <w:t>关政策文件，</w:t>
      </w:r>
      <w:r>
        <w:rPr>
          <w:rFonts w:hint="eastAsia" w:ascii="仿宋_GB2312" w:eastAsia="仿宋_GB2312" w:hAnsiTheme="minorEastAsia"/>
          <w:color w:val="auto"/>
          <w:sz w:val="32"/>
          <w:szCs w:val="32"/>
          <w:lang w:eastAsia="zh-CN"/>
        </w:rPr>
        <w:t>如</w:t>
      </w:r>
      <w:r>
        <w:rPr>
          <w:rFonts w:hint="eastAsia" w:ascii="仿宋_GB2312" w:eastAsia="仿宋_GB2312" w:hAnsiTheme="minorEastAsia"/>
          <w:color w:val="auto"/>
          <w:sz w:val="32"/>
          <w:szCs w:val="32"/>
          <w:lang w:val="en-US" w:eastAsia="zh-CN"/>
        </w:rPr>
        <w:t>开展《政府信息公开条例》等专题培训，大力提高工作人员专业</w:t>
      </w:r>
      <w:r>
        <w:rPr>
          <w:rFonts w:hint="eastAsia" w:ascii="仿宋_GB2312" w:hAnsi="宋体" w:eastAsia="仿宋_GB2312" w:cs="宋体"/>
          <w:color w:val="auto"/>
          <w:kern w:val="0"/>
          <w:sz w:val="32"/>
          <w:szCs w:val="32"/>
          <w:lang w:val="en-US" w:eastAsia="zh-CN"/>
        </w:rPr>
        <w:t>素质和业务能力，</w:t>
      </w:r>
      <w:r>
        <w:rPr>
          <w:rFonts w:hint="eastAsia" w:ascii="仿宋_GB2312" w:eastAsia="仿宋_GB2312" w:hAnsiTheme="minorEastAsia"/>
          <w:color w:val="auto"/>
          <w:sz w:val="32"/>
          <w:szCs w:val="32"/>
          <w:lang w:val="en-US" w:eastAsia="zh-CN"/>
        </w:rPr>
        <w:t>并积极参加大兴区政务公开各项工作交流培训活动。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spacing w:val="8"/>
          <w:kern w:val="0"/>
          <w:sz w:val="32"/>
          <w:szCs w:val="32"/>
          <w:lang w:val="en-US" w:eastAsia="zh-CN"/>
        </w:rPr>
      </w:pP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监督保障</w:t>
      </w:r>
      <w:r>
        <w:rPr>
          <w:rFonts w:hint="eastAsia" w:ascii="仿宋_GB2312" w:hAnsi="仿宋_GB2312" w:eastAsia="仿宋_GB2312" w:cs="仿宋_GB2312"/>
          <w:b/>
          <w:bCs/>
          <w:color w:val="auto"/>
          <w:sz w:val="32"/>
          <w:szCs w:val="32"/>
          <w:highlight w:val="none"/>
          <w:lang w:eastAsia="zh-CN"/>
        </w:rPr>
        <w:t>。</w:t>
      </w:r>
      <w:r>
        <w:rPr>
          <w:rFonts w:hint="eastAsia" w:ascii="仿宋_GB2312" w:hAnsi="宋体" w:eastAsia="仿宋_GB2312" w:cs="宋体"/>
          <w:spacing w:val="8"/>
          <w:kern w:val="0"/>
          <w:sz w:val="32"/>
          <w:szCs w:val="32"/>
          <w:lang w:val="en-US" w:eastAsia="zh-CN" w:bidi="ar-SA"/>
        </w:rPr>
        <w:t>严格落实信息发布保密审查制度，发布信息前履行保密审查手续。</w:t>
      </w:r>
      <w:r>
        <w:rPr>
          <w:rFonts w:hint="eastAsia" w:ascii="仿宋_GB2312" w:hAnsi="宋体" w:eastAsia="仿宋_GB2312" w:cs="宋体"/>
          <w:spacing w:val="8"/>
          <w:kern w:val="0"/>
          <w:sz w:val="32"/>
          <w:szCs w:val="32"/>
          <w:lang w:val="en-US" w:eastAsia="zh-CN"/>
        </w:rPr>
        <w:t>积极探索多种监督方式，公开投诉电话，畅通群众来信、</w:t>
      </w:r>
      <w:bookmarkStart w:id="0" w:name="_GoBack"/>
      <w:bookmarkEnd w:id="0"/>
      <w:r>
        <w:rPr>
          <w:rFonts w:hint="eastAsia" w:ascii="仿宋_GB2312" w:hAnsi="宋体" w:eastAsia="仿宋_GB2312" w:cs="宋体"/>
          <w:spacing w:val="8"/>
          <w:kern w:val="0"/>
          <w:sz w:val="32"/>
          <w:szCs w:val="32"/>
          <w:lang w:val="en-US" w:eastAsia="zh-CN"/>
        </w:rPr>
        <w:t>来电、来访诉求渠道，及时进行反馈回复，自觉接受社会各界监督，确保网站上公开的信息全面、准确。</w:t>
      </w:r>
    </w:p>
    <w:p>
      <w:pPr>
        <w:numPr>
          <w:ilvl w:val="0"/>
          <w:numId w:val="0"/>
        </w:numPr>
        <w:spacing w:line="560" w:lineRule="exact"/>
        <w:ind w:left="630" w:leftChars="0"/>
        <w:rPr>
          <w:rFonts w:hint="eastAsia" w:ascii="黑体" w:hAnsi="宋体" w:eastAsia="黑体" w:cs="黑体"/>
          <w:color w:val="auto"/>
          <w:sz w:val="32"/>
          <w:szCs w:val="32"/>
        </w:rPr>
      </w:pPr>
      <w:r>
        <w:rPr>
          <w:rFonts w:hint="eastAsia" w:ascii="黑体" w:hAnsi="宋体" w:eastAsia="黑体" w:cs="黑体"/>
          <w:color w:val="auto"/>
          <w:sz w:val="32"/>
          <w:szCs w:val="32"/>
          <w:lang w:eastAsia="zh-CN" w:bidi="ar"/>
        </w:rPr>
        <w:t>二、</w:t>
      </w:r>
      <w:r>
        <w:rPr>
          <w:rFonts w:hint="eastAsia" w:ascii="黑体" w:hAnsi="宋体" w:eastAsia="黑体" w:cs="黑体"/>
          <w:color w:val="auto"/>
          <w:sz w:val="32"/>
          <w:szCs w:val="32"/>
          <w:lang w:bidi="ar"/>
        </w:rPr>
        <w:t>主动公开政府信息情况</w:t>
      </w:r>
    </w:p>
    <w:p>
      <w:pPr>
        <w:pStyle w:val="2"/>
        <w:widowControl/>
        <w:rPr>
          <w:color w:val="auto"/>
        </w:rPr>
      </w:pPr>
    </w:p>
    <w:p>
      <w:pPr>
        <w:pStyle w:val="2"/>
        <w:widowControl/>
        <w:rPr>
          <w:color w:val="auto"/>
        </w:rPr>
      </w:pPr>
    </w:p>
    <w:tbl>
      <w:tblPr>
        <w:tblStyle w:val="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auto"/>
                <w:kern w:val="0"/>
                <w:sz w:val="20"/>
                <w:szCs w:val="20"/>
                <w:lang w:bidi="ar"/>
              </w:rPr>
            </w:pPr>
            <w:r>
              <w:rPr>
                <w:rFonts w:hint="eastAsia" w:ascii="宋体" w:hAnsi="宋体" w:cs="宋体"/>
                <w:color w:val="auto"/>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cs="Calibri"/>
                <w:color w:val="auto"/>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cs="Calibri"/>
                <w:color w:val="auto"/>
                <w:kern w:val="0"/>
                <w:szCs w:val="21"/>
                <w:lang w:val="en-US" w:eastAsia="zh-CN" w:bidi="ar"/>
              </w:rPr>
              <w:t>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val="en-US" w:eastAsia="zh-CN"/>
              </w:rPr>
            </w:pPr>
            <w:r>
              <w:rPr>
                <w:rFonts w:hint="eastAsia"/>
                <w:color w:val="auto"/>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ascii="宋体" w:hAnsi="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color w:val="auto"/>
                <w:lang w:eastAsia="zh-CN"/>
              </w:rPr>
            </w:pPr>
            <w:r>
              <w:rPr>
                <w:rFonts w:hint="eastAsia" w:ascii="宋体" w:hAnsi="宋体" w:cs="宋体"/>
                <w:color w:val="auto"/>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color w:val="auto"/>
                <w:sz w:val="24"/>
                <w:lang w:val="en-US" w:eastAsia="zh-CN"/>
              </w:rPr>
            </w:pPr>
            <w:r>
              <w:rPr>
                <w:rFonts w:hint="eastAsia" w:ascii="宋体" w:cs="宋体"/>
                <w:color w:val="auto"/>
                <w:sz w:val="24"/>
                <w:lang w:val="en-US" w:eastAsia="zh-CN"/>
              </w:rPr>
              <w:t>0</w:t>
            </w:r>
          </w:p>
        </w:tc>
      </w:tr>
    </w:tbl>
    <w:p>
      <w:pPr>
        <w:pStyle w:val="2"/>
        <w:widowControl/>
        <w:rPr>
          <w:color w:val="auto"/>
        </w:rPr>
      </w:pPr>
    </w:p>
    <w:p>
      <w:pPr>
        <w:numPr>
          <w:ilvl w:val="0"/>
          <w:numId w:val="1"/>
        </w:numPr>
        <w:spacing w:line="560" w:lineRule="exact"/>
        <w:ind w:firstLine="640"/>
        <w:rPr>
          <w:rFonts w:hint="eastAsia" w:ascii="黑体" w:hAnsi="宋体" w:eastAsia="黑体" w:cs="黑体"/>
          <w:color w:val="auto"/>
          <w:sz w:val="32"/>
          <w:szCs w:val="32"/>
        </w:rPr>
      </w:pPr>
      <w:r>
        <w:rPr>
          <w:rFonts w:hint="eastAsia" w:ascii="黑体" w:hAnsi="宋体" w:eastAsia="黑体" w:cs="黑体"/>
          <w:color w:val="auto"/>
          <w:sz w:val="32"/>
          <w:szCs w:val="32"/>
          <w:lang w:bidi="ar"/>
        </w:rPr>
        <w:t>收到和处理政府信息公开申请情况</w:t>
      </w:r>
    </w:p>
    <w:p>
      <w:pPr>
        <w:ind w:left="629"/>
        <w:rPr>
          <w:rFonts w:hint="eastAsia" w:ascii="黑体" w:hAnsi="宋体" w:eastAsia="黑体" w:cs="黑体"/>
          <w:color w:val="auto"/>
          <w:sz w:val="24"/>
        </w:rP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rPr>
                <w:color w:val="auto"/>
              </w:rPr>
            </w:pPr>
            <w:r>
              <w:rPr>
                <w:rFonts w:hint="eastAsia" w:ascii="楷体" w:hAnsi="楷体" w:eastAsia="楷体" w:cs="楷体"/>
                <w:color w:val="auto"/>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color w:val="auto"/>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color w:val="auto"/>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color w:val="auto"/>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商业</w:t>
            </w:r>
          </w:p>
          <w:p>
            <w:pPr>
              <w:widowControl/>
              <w:jc w:val="center"/>
              <w:rPr>
                <w:color w:val="auto"/>
              </w:rPr>
            </w:pPr>
            <w:r>
              <w:rPr>
                <w:rFonts w:hint="eastAsia" w:ascii="宋体" w:hAnsi="宋体" w:cs="宋体"/>
                <w:color w:val="auto"/>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科研</w:t>
            </w:r>
          </w:p>
          <w:p>
            <w:pPr>
              <w:widowControl/>
              <w:jc w:val="center"/>
              <w:rPr>
                <w:color w:val="auto"/>
              </w:rPr>
            </w:pPr>
            <w:r>
              <w:rPr>
                <w:rFonts w:hint="eastAsia" w:ascii="宋体" w:hAnsi="宋体" w:cs="宋体"/>
                <w:color w:val="auto"/>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color w:val="auto"/>
              </w:rPr>
            </w:pPr>
            <w:r>
              <w:rPr>
                <w:rFonts w:hint="eastAsia" w:ascii="宋体" w:hAnsi="宋体" w:cs="宋体"/>
                <w:color w:val="auto"/>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color w:val="auto"/>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color w:val="auto"/>
                <w:lang w:eastAsia="zh-CN"/>
              </w:rPr>
            </w:pPr>
            <w:r>
              <w:rPr>
                <w:rFonts w:hint="eastAsia" w:cs="Calibri"/>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（二）部分公开</w:t>
            </w:r>
            <w:r>
              <w:rPr>
                <w:rFonts w:hint="eastAsia" w:ascii="楷体" w:hAnsi="楷体" w:eastAsia="楷体" w:cs="楷体"/>
                <w:color w:val="auto"/>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rPr>
                <w:color w:val="auto"/>
              </w:rPr>
            </w:pPr>
            <w:r>
              <w:rPr>
                <w:rFonts w:hint="eastAsia" w:ascii="宋体" w:hAnsi="宋体" w:cs="宋体"/>
                <w:color w:val="auto"/>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rPr>
                <w:color w:val="auto"/>
              </w:rPr>
            </w:pPr>
            <w:r>
              <w:rPr>
                <w:rFonts w:hint="eastAsia" w:ascii="宋体" w:hAnsi="宋体" w:cs="宋体"/>
                <w:color w:val="auto"/>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color w:val="auto"/>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color w:val="auto"/>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rPr>
                <w:color w:val="auto"/>
              </w:rPr>
            </w:pPr>
            <w:r>
              <w:rPr>
                <w:rFonts w:hint="eastAsia" w:ascii="宋体" w:hAnsi="宋体" w:cs="宋体"/>
                <w:color w:val="auto"/>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cs="Calibri"/>
                <w:color w:val="auto"/>
                <w:kern w:val="0"/>
                <w:sz w:val="20"/>
                <w:szCs w:val="20"/>
                <w:lang w:val="en-US" w:eastAsia="zh-CN" w:bidi="ar"/>
              </w:rPr>
            </w:pPr>
          </w:p>
          <w:p>
            <w:pPr>
              <w:widowControl/>
              <w:jc w:val="center"/>
              <w:rPr>
                <w:color w:val="auto"/>
              </w:rPr>
            </w:pPr>
            <w:r>
              <w:rPr>
                <w:rFonts w:hint="eastAsia" w:cs="Calibri"/>
                <w:color w:val="auto"/>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val="en-US" w:eastAsia="zh-CN" w:bidi="ar"/>
              </w:rPr>
            </w:pPr>
          </w:p>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val="en-US" w:eastAsia="zh-CN" w:bidi="ar"/>
              </w:rPr>
            </w:pPr>
          </w:p>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top"/>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lang w:val="en-US" w:eastAsia="zh-CN"/>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sz w:val="24"/>
              </w:rPr>
            </w:pPr>
            <w:r>
              <w:rPr>
                <w:rFonts w:hint="eastAsia" w:ascii="黑体" w:hAnsi="宋体" w:eastAsia="黑体" w:cs="黑体"/>
                <w:kern w:val="0"/>
                <w:sz w:val="20"/>
                <w:szCs w:val="20"/>
                <w:lang w:val="en-US" w:eastAsia="zh-CN" w:bidi="ar"/>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lang w:val="en-US" w:eastAsia="zh-CN"/>
        </w:rPr>
        <w:t>我局政务新媒体账号存在2周内内无更新情况</w:t>
      </w:r>
      <w:r>
        <w:rPr>
          <w:rFonts w:hint="eastAsia" w:ascii="仿宋_GB2312" w:hAnsi="仿宋_GB2312" w:eastAsia="仿宋_GB2312" w:cs="仿宋_GB2312"/>
          <w:color w:val="000000"/>
          <w:sz w:val="32"/>
          <w:szCs w:val="32"/>
          <w:lang w:eastAsia="zh-CN" w:bidi="ar"/>
        </w:rPr>
        <w:t>。因专职工作人员借调，接管人员对业务流程不熟悉，导致问题发生。该问题凸显出我局政务新媒体从业人员专业水平较弱，实践经验略显不足。我局对该问题立即进行整改，</w:t>
      </w:r>
      <w:r>
        <w:rPr>
          <w:rFonts w:hint="eastAsia" w:ascii="仿宋_GB2312" w:hAnsi="仿宋_GB2312" w:eastAsia="仿宋_GB2312" w:cs="仿宋_GB2312"/>
          <w:sz w:val="32"/>
          <w:szCs w:val="32"/>
          <w:lang w:val="en-US" w:eastAsia="zh-CN"/>
        </w:rPr>
        <w:t>加强对政务新媒体工作人员的培训，包括信息发布操作流程、日常运营维护、工作要求等方面，提高政务新媒体工作人员的专业水平。</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2" w:firstLineChars="200"/>
        <w:jc w:val="left"/>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我单位本年度发出收费通知的件数和总金额以及实际收取的总金额均为0。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TM2MDNjNGUyYTBlZjZlNjFjNTRhNjc3ZGQ4MzMifQ=="/>
  </w:docVars>
  <w:rsids>
    <w:rsidRoot w:val="00000000"/>
    <w:rsid w:val="13C46C98"/>
    <w:rsid w:val="1A0D6ED9"/>
    <w:rsid w:val="39FE1AA8"/>
    <w:rsid w:val="466D2AD4"/>
    <w:rsid w:val="561A1D68"/>
    <w:rsid w:val="78B2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unhideWhenUsed/>
    <w:qFormat/>
    <w:uiPriority w:val="99"/>
    <w:pPr>
      <w:spacing w:after="120" w:afterLines="0"/>
    </w:pPr>
    <w:rPr>
      <w:szCs w:val="20"/>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5">
    <w:name w:val="Body Text First Indent"/>
    <w:basedOn w:val="3"/>
    <w:unhideWhenUsed/>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2023-12-28T02:47:00Z</dcterms:created>
  <dc:creator>Administrator</dc:creator>
  <cp:lastModifiedBy>shen</cp:lastModifiedBy>
  <dcterms:modified xsi:type="dcterms:W3CDTF">2024-01-23T06:32:12Z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61A3685661594658A1BACA69EBA5F5C0_12</vt:lpwstr>
  </property>
</Properties>
</file>