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lang w:eastAsia="zh-CN" w:bidi="ar"/>
        </w:rPr>
      </w:pPr>
      <w:r>
        <w:rPr>
          <w:rFonts w:hint="eastAsia" w:ascii="方正小标宋简体" w:hAnsi="方正小标宋简体" w:eastAsia="方正小标宋简体" w:cs="方正小标宋简体"/>
          <w:sz w:val="44"/>
          <w:szCs w:val="44"/>
          <w:lang w:eastAsia="zh-CN" w:bidi="ar"/>
        </w:rPr>
        <w:t>北京市大兴区文化和旅游局</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2023年政府信息公开工作年度报告</w:t>
      </w:r>
    </w:p>
    <w:p>
      <w:pPr>
        <w:spacing w:line="560" w:lineRule="exact"/>
        <w:jc w:val="center"/>
        <w:rPr>
          <w:sz w:val="44"/>
          <w:szCs w:val="44"/>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r>
        <w:rPr>
          <w:rFonts w:hint="eastAsia" w:ascii="仿宋_GB2312" w:hAnsi="宋体" w:eastAsia="仿宋_GB2312" w:cs="宋体"/>
          <w:spacing w:val="8"/>
          <w:kern w:val="0"/>
          <w:sz w:val="32"/>
          <w:szCs w:val="32"/>
          <w:lang w:bidi="ar"/>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2" w:firstLineChars="200"/>
        <w:jc w:val="left"/>
        <w:textAlignment w:val="auto"/>
        <w:rPr>
          <w:rFonts w:hint="eastAsia" w:ascii="黑体" w:hAnsi="宋体" w:eastAsia="黑体" w:cs="宋体"/>
          <w:spacing w:val="8"/>
          <w:kern w:val="0"/>
          <w:sz w:val="32"/>
          <w:szCs w:val="32"/>
        </w:rPr>
      </w:pPr>
      <w:r>
        <w:rPr>
          <w:rFonts w:hint="eastAsia" w:ascii="黑体" w:hAnsi="宋体" w:eastAsia="黑体" w:cs="宋体"/>
          <w:spacing w:val="8"/>
          <w:kern w:val="0"/>
          <w:sz w:val="32"/>
          <w:szCs w:val="32"/>
          <w:lang w:bidi="ar"/>
        </w:rPr>
        <w:t>一、总体情况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（一）组织领导情况。</w:t>
      </w:r>
      <w:r>
        <w:rPr>
          <w:rFonts w:hint="eastAsia" w:ascii="仿宋_GB2312" w:hAnsi="仿宋_GB2312" w:eastAsia="仿宋_GB2312" w:cs="仿宋_GB2312"/>
          <w:i w:val="0"/>
          <w:caps w:val="0"/>
          <w:color w:val="262626"/>
          <w:spacing w:val="0"/>
          <w:sz w:val="32"/>
          <w:szCs w:val="32"/>
          <w:shd w:val="clear" w:color="auto" w:fill="FFFFFF"/>
        </w:rPr>
        <w:t>为进一步提高</w:t>
      </w:r>
      <w:r>
        <w:rPr>
          <w:rFonts w:hint="eastAsia" w:ascii="仿宋_GB2312" w:hAnsi="仿宋_GB2312" w:eastAsia="仿宋_GB2312" w:cs="仿宋_GB2312"/>
          <w:i w:val="0"/>
          <w:caps w:val="0"/>
          <w:color w:val="262626"/>
          <w:spacing w:val="0"/>
          <w:sz w:val="32"/>
          <w:szCs w:val="32"/>
          <w:shd w:val="clear" w:color="auto" w:fill="FFFFFF"/>
          <w:lang w:eastAsia="zh-CN"/>
        </w:rPr>
        <w:t>我局政府信息</w:t>
      </w:r>
      <w:r>
        <w:rPr>
          <w:rFonts w:hint="eastAsia" w:ascii="仿宋_GB2312" w:hAnsi="仿宋_GB2312" w:eastAsia="仿宋_GB2312" w:cs="仿宋_GB2312"/>
          <w:i w:val="0"/>
          <w:caps w:val="0"/>
          <w:color w:val="262626"/>
          <w:spacing w:val="0"/>
          <w:sz w:val="32"/>
          <w:szCs w:val="32"/>
          <w:shd w:val="clear" w:color="auto" w:fill="FFFFFF"/>
        </w:rPr>
        <w:t>公开工作标准化、规范化水平</w:t>
      </w:r>
      <w:r>
        <w:rPr>
          <w:rFonts w:hint="eastAsia" w:ascii="仿宋_GB2312" w:hAnsi="仿宋_GB2312" w:eastAsia="仿宋_GB2312" w:cs="仿宋_GB2312"/>
          <w:i w:val="0"/>
          <w:caps w:val="0"/>
          <w:color w:val="262626"/>
          <w:spacing w:val="0"/>
          <w:sz w:val="32"/>
          <w:szCs w:val="32"/>
          <w:shd w:val="clear" w:color="auto" w:fill="FFFFFF"/>
          <w:lang w:eastAsia="zh-CN"/>
        </w:rPr>
        <w:t>，成立</w:t>
      </w:r>
      <w:r>
        <w:rPr>
          <w:rFonts w:hint="eastAsia" w:ascii="仿宋_GB2312" w:hAnsi="仿宋_GB2312" w:eastAsia="仿宋_GB2312" w:cs="仿宋_GB2312"/>
          <w:b w:val="0"/>
          <w:bCs w:val="0"/>
          <w:color w:val="auto"/>
          <w:sz w:val="32"/>
          <w:szCs w:val="32"/>
        </w:rPr>
        <w:t>政府信息公开工作领导</w:t>
      </w:r>
      <w:r>
        <w:rPr>
          <w:rFonts w:hint="eastAsia" w:ascii="仿宋_GB2312" w:hAnsi="仿宋_GB2312" w:eastAsia="仿宋_GB2312" w:cs="仿宋_GB2312"/>
          <w:b w:val="0"/>
          <w:bCs w:val="0"/>
          <w:color w:val="auto"/>
          <w:sz w:val="32"/>
          <w:szCs w:val="32"/>
          <w:lang w:eastAsia="zh-CN"/>
        </w:rPr>
        <w:t>小组</w:t>
      </w:r>
      <w:r>
        <w:rPr>
          <w:rFonts w:hint="eastAsia" w:ascii="仿宋_GB2312" w:hAnsi="仿宋_GB2312" w:eastAsia="仿宋_GB2312" w:cs="仿宋_GB2312"/>
          <w:b w:val="0"/>
          <w:bCs w:val="0"/>
          <w:color w:val="auto"/>
          <w:sz w:val="32"/>
          <w:szCs w:val="32"/>
        </w:rPr>
        <w:t>，由</w:t>
      </w:r>
      <w:r>
        <w:rPr>
          <w:rFonts w:hint="eastAsia" w:ascii="仿宋_GB2312" w:hAnsi="仿宋_GB2312" w:eastAsia="仿宋_GB2312" w:cs="仿宋_GB2312"/>
          <w:b w:val="0"/>
          <w:bCs w:val="0"/>
          <w:color w:val="auto"/>
          <w:sz w:val="32"/>
          <w:szCs w:val="32"/>
          <w:lang w:eastAsia="zh-CN"/>
        </w:rPr>
        <w:t>党组书记、</w:t>
      </w:r>
      <w:r>
        <w:rPr>
          <w:rFonts w:hint="eastAsia" w:ascii="仿宋_GB2312" w:hAnsi="仿宋_GB2312" w:eastAsia="仿宋_GB2312" w:cs="仿宋_GB2312"/>
          <w:b w:val="0"/>
          <w:bCs w:val="0"/>
          <w:color w:val="auto"/>
          <w:sz w:val="32"/>
          <w:szCs w:val="32"/>
        </w:rPr>
        <w:t>局长任组长，主管副局长任副组长，机关各科（室）、所属事业单位负责人为成员</w:t>
      </w:r>
      <w:r>
        <w:rPr>
          <w:rFonts w:hint="eastAsia" w:ascii="仿宋_GB2312" w:hAnsi="仿宋_GB2312" w:eastAsia="仿宋_GB2312" w:cs="仿宋_GB2312"/>
          <w:b w:val="0"/>
          <w:bCs w:val="0"/>
          <w:color w:val="auto"/>
          <w:sz w:val="32"/>
          <w:szCs w:val="32"/>
          <w:lang w:eastAsia="zh-CN"/>
        </w:rPr>
        <w:t>的政府信息公开工作</w:t>
      </w:r>
      <w:r>
        <w:rPr>
          <w:rFonts w:hint="eastAsia" w:ascii="仿宋_GB2312" w:hAnsi="仿宋_GB2312" w:eastAsia="仿宋_GB2312" w:cs="仿宋_GB2312"/>
          <w:b w:val="0"/>
          <w:bCs w:val="0"/>
          <w:color w:val="auto"/>
          <w:sz w:val="32"/>
          <w:szCs w:val="32"/>
        </w:rPr>
        <w:t>领导小组</w:t>
      </w:r>
      <w:r>
        <w:rPr>
          <w:rFonts w:hint="eastAsia" w:ascii="仿宋_GB2312" w:hAnsi="仿宋_GB2312" w:eastAsia="仿宋_GB2312" w:cs="仿宋_GB2312"/>
          <w:b w:val="0"/>
          <w:bCs w:val="0"/>
          <w:color w:val="auto"/>
          <w:sz w:val="32"/>
          <w:szCs w:val="32"/>
          <w:lang w:eastAsia="zh-CN"/>
        </w:rPr>
        <w:t>，机关综合办公室负责</w:t>
      </w:r>
      <w:r>
        <w:rPr>
          <w:rFonts w:hint="eastAsia" w:ascii="仿宋_GB2312" w:hAnsi="仿宋_GB2312" w:eastAsia="仿宋_GB2312" w:cs="仿宋_GB2312"/>
          <w:b w:val="0"/>
          <w:bCs w:val="0"/>
          <w:color w:val="auto"/>
          <w:sz w:val="32"/>
          <w:szCs w:val="32"/>
        </w:rPr>
        <w:t>政府信息公开</w:t>
      </w:r>
      <w:r>
        <w:rPr>
          <w:rFonts w:hint="eastAsia" w:ascii="仿宋_GB2312" w:hAnsi="仿宋_GB2312" w:eastAsia="仿宋_GB2312" w:cs="仿宋_GB2312"/>
          <w:b w:val="0"/>
          <w:bCs w:val="0"/>
          <w:color w:val="auto"/>
          <w:sz w:val="32"/>
          <w:szCs w:val="32"/>
          <w:lang w:eastAsia="zh-CN"/>
        </w:rPr>
        <w:t>工作的具体组织协调，领导小组负责</w:t>
      </w:r>
      <w:r>
        <w:rPr>
          <w:rFonts w:hint="eastAsia" w:ascii="仿宋_GB2312" w:hAnsi="仿宋_GB2312" w:eastAsia="仿宋_GB2312" w:cs="仿宋_GB2312"/>
          <w:b w:val="0"/>
          <w:bCs w:val="0"/>
          <w:color w:val="auto"/>
          <w:sz w:val="32"/>
          <w:szCs w:val="32"/>
        </w:rPr>
        <w:t>政府信息公开工作的组织实施，定期召开会议研究</w:t>
      </w:r>
      <w:r>
        <w:rPr>
          <w:rFonts w:hint="eastAsia" w:ascii="仿宋_GB2312" w:hAnsi="仿宋_GB2312" w:eastAsia="仿宋_GB2312" w:cs="仿宋_GB2312"/>
          <w:b w:val="0"/>
          <w:bCs w:val="0"/>
          <w:color w:val="auto"/>
          <w:sz w:val="32"/>
          <w:szCs w:val="32"/>
          <w:lang w:eastAsia="zh-CN"/>
        </w:rPr>
        <w:t>解决</w:t>
      </w:r>
      <w:r>
        <w:rPr>
          <w:rFonts w:hint="eastAsia" w:ascii="仿宋_GB2312" w:hAnsi="仿宋_GB2312" w:eastAsia="仿宋_GB2312" w:cs="仿宋_GB2312"/>
          <w:b w:val="0"/>
          <w:bCs w:val="0"/>
          <w:color w:val="auto"/>
          <w:sz w:val="32"/>
          <w:szCs w:val="32"/>
        </w:rPr>
        <w:t>政府信息公开相关</w:t>
      </w:r>
      <w:r>
        <w:rPr>
          <w:rFonts w:hint="eastAsia" w:ascii="仿宋_GB2312" w:hAnsi="仿宋_GB2312" w:eastAsia="仿宋_GB2312" w:cs="仿宋_GB2312"/>
          <w:b w:val="0"/>
          <w:bCs w:val="0"/>
          <w:color w:val="auto"/>
          <w:sz w:val="32"/>
          <w:szCs w:val="32"/>
          <w:lang w:eastAsia="zh-CN"/>
        </w:rPr>
        <w:t>问题。</w:t>
      </w:r>
    </w:p>
    <w:p>
      <w:pPr>
        <w:spacing w:line="620" w:lineRule="exact"/>
        <w:ind w:firstLine="640" w:firstLineChars="200"/>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（二）主动公开情况。</w:t>
      </w:r>
      <w:r>
        <w:rPr>
          <w:rFonts w:hint="eastAsia" w:ascii="仿宋_GB2312" w:hAnsi="仿宋_GB2312" w:eastAsia="仿宋_GB2312" w:cs="仿宋_GB2312"/>
          <w:sz w:val="32"/>
          <w:szCs w:val="28"/>
          <w:lang w:eastAsia="zh-CN"/>
        </w:rPr>
        <w:t>文化旅游工作在政府和社会中发挥着重要作用，我局根据重点工作台账，有目标、有计划地做好政府信息公开工作。本年度</w:t>
      </w:r>
      <w:r>
        <w:rPr>
          <w:rFonts w:hint="eastAsia" w:ascii="仿宋_GB2312" w:hAnsi="仿宋_GB2312" w:eastAsia="仿宋_GB2312" w:cs="仿宋_GB2312"/>
          <w:b w:val="0"/>
          <w:bCs w:val="0"/>
          <w:i w:val="0"/>
          <w:caps w:val="0"/>
          <w:color w:val="auto"/>
          <w:spacing w:val="0"/>
          <w:sz w:val="32"/>
          <w:szCs w:val="32"/>
          <w:shd w:val="clear" w:fill="FFFFFF"/>
          <w:lang w:eastAsia="zh-CN"/>
        </w:rPr>
        <w:t>通过政府网站发布各类信息</w:t>
      </w:r>
      <w:r>
        <w:rPr>
          <w:rFonts w:hint="eastAsia" w:ascii="仿宋_GB2312" w:hAnsi="仿宋_GB2312" w:eastAsia="仿宋_GB2312" w:cs="仿宋_GB2312"/>
          <w:b w:val="0"/>
          <w:bCs w:val="0"/>
          <w:i w:val="0"/>
          <w:caps w:val="0"/>
          <w:color w:val="auto"/>
          <w:spacing w:val="0"/>
          <w:sz w:val="32"/>
          <w:szCs w:val="32"/>
          <w:shd w:val="clear" w:fill="FFFFFF"/>
          <w:lang w:val="en-US" w:eastAsia="zh-CN"/>
        </w:rPr>
        <w:t>120条，通过</w:t>
      </w:r>
      <w:r>
        <w:rPr>
          <w:rFonts w:hint="eastAsia" w:ascii="仿宋_GB2312" w:hAnsi="仿宋_GB2312" w:eastAsia="仿宋_GB2312" w:cs="仿宋_GB2312"/>
          <w:b w:val="0"/>
          <w:bCs w:val="0"/>
          <w:i w:val="0"/>
          <w:caps w:val="0"/>
          <w:color w:val="auto"/>
          <w:spacing w:val="0"/>
          <w:sz w:val="32"/>
          <w:szCs w:val="32"/>
          <w:shd w:val="clear" w:fill="FFFFFF"/>
          <w:lang w:eastAsia="zh-CN"/>
        </w:rPr>
        <w:t>新媒体账号</w:t>
      </w:r>
      <w:r>
        <w:rPr>
          <w:rFonts w:hint="eastAsia" w:ascii="仿宋_GB2312" w:hAnsi="仿宋_GB2312" w:eastAsia="仿宋_GB2312" w:cs="仿宋_GB2312"/>
          <w:color w:val="auto"/>
          <w:sz w:val="32"/>
          <w:szCs w:val="32"/>
          <w:highlight w:val="none"/>
          <w:lang w:val="en-US" w:eastAsia="zh-CN"/>
        </w:rPr>
        <w:t>“文旅大兴”微信公众号发布信息1280余条，抖音号发布21条，各类媒体宣传报道600余次</w:t>
      </w:r>
      <w:r>
        <w:rPr>
          <w:rFonts w:hint="eastAsia" w:ascii="仿宋_GB2312" w:hAnsi="仿宋_GB2312" w:eastAsia="仿宋_GB2312" w:cs="仿宋_GB2312"/>
          <w:b w:val="0"/>
          <w:bCs w:val="0"/>
          <w:i w:val="0"/>
          <w:caps w:val="0"/>
          <w:color w:val="auto"/>
          <w:spacing w:val="0"/>
          <w:sz w:val="32"/>
          <w:szCs w:val="32"/>
          <w:shd w:val="clear" w:fill="FFFFFF"/>
          <w:lang w:eastAsia="zh-CN"/>
        </w:rPr>
        <w:t>。</w:t>
      </w:r>
      <w:r>
        <w:rPr>
          <w:rFonts w:hint="eastAsia" w:ascii="仿宋_GB2312" w:hAnsi="仿宋_GB2312" w:eastAsia="仿宋_GB2312" w:cs="仿宋_GB2312"/>
          <w:sz w:val="32"/>
          <w:szCs w:val="28"/>
        </w:rPr>
        <w:t>全面、准确、及时反映大兴区文化旅游发展动态，</w:t>
      </w:r>
      <w:r>
        <w:rPr>
          <w:rFonts w:hint="eastAsia" w:ascii="仿宋_GB2312" w:hAnsi="仿宋_GB2312" w:eastAsia="仿宋_GB2312" w:cs="仿宋_GB2312"/>
          <w:sz w:val="32"/>
          <w:szCs w:val="28"/>
          <w:lang w:eastAsia="zh-CN"/>
        </w:rPr>
        <w:t>最大化体现文化旅游工作成效。</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eastAsia="zh-CN"/>
        </w:rPr>
        <w:t>（三）</w:t>
      </w:r>
      <w:r>
        <w:rPr>
          <w:rFonts w:hint="eastAsia" w:ascii="楷体_GB2312" w:hAnsi="楷体_GB2312" w:eastAsia="楷体_GB2312" w:cs="楷体_GB2312"/>
          <w:b w:val="0"/>
          <w:bCs w:val="0"/>
          <w:color w:val="auto"/>
          <w:sz w:val="32"/>
          <w:szCs w:val="32"/>
        </w:rPr>
        <w:t>依申请公开办理情况。</w:t>
      </w:r>
      <w:r>
        <w:rPr>
          <w:rFonts w:hint="eastAsia" w:ascii="仿宋_GB2312" w:hAnsi="仿宋_GB2312" w:eastAsia="仿宋_GB2312" w:cs="仿宋_GB2312"/>
          <w:b w:val="0"/>
          <w:bCs w:val="0"/>
          <w:color w:val="auto"/>
          <w:spacing w:val="8"/>
          <w:kern w:val="0"/>
          <w:sz w:val="32"/>
          <w:szCs w:val="32"/>
        </w:rPr>
        <w:t>20</w:t>
      </w:r>
      <w:r>
        <w:rPr>
          <w:rFonts w:hint="eastAsia" w:ascii="仿宋_GB2312" w:hAnsi="仿宋_GB2312" w:eastAsia="仿宋_GB2312" w:cs="仿宋_GB2312"/>
          <w:b w:val="0"/>
          <w:bCs w:val="0"/>
          <w:color w:val="auto"/>
          <w:spacing w:val="8"/>
          <w:kern w:val="0"/>
          <w:sz w:val="32"/>
          <w:szCs w:val="32"/>
          <w:lang w:val="en-US" w:eastAsia="zh-CN"/>
        </w:rPr>
        <w:t>23</w:t>
      </w:r>
      <w:r>
        <w:rPr>
          <w:rFonts w:hint="eastAsia" w:ascii="仿宋_GB2312" w:hAnsi="仿宋_GB2312" w:eastAsia="仿宋_GB2312" w:cs="仿宋_GB2312"/>
          <w:b w:val="0"/>
          <w:bCs w:val="0"/>
          <w:color w:val="auto"/>
          <w:spacing w:val="8"/>
          <w:kern w:val="0"/>
          <w:sz w:val="32"/>
          <w:szCs w:val="32"/>
        </w:rPr>
        <w:t>年度，</w:t>
      </w:r>
      <w:r>
        <w:rPr>
          <w:rFonts w:hint="eastAsia" w:ascii="仿宋_GB2312" w:hAnsi="仿宋_GB2312" w:eastAsia="仿宋_GB2312" w:cs="仿宋_GB2312"/>
          <w:b w:val="0"/>
          <w:bCs w:val="0"/>
          <w:color w:val="auto"/>
          <w:spacing w:val="8"/>
          <w:kern w:val="0"/>
          <w:sz w:val="32"/>
          <w:szCs w:val="32"/>
          <w:lang w:eastAsia="zh-CN"/>
        </w:rPr>
        <w:t>本局收到政府信息公开申请</w:t>
      </w:r>
      <w:r>
        <w:rPr>
          <w:rFonts w:hint="eastAsia" w:ascii="仿宋_GB2312" w:hAnsi="仿宋_GB2312" w:eastAsia="仿宋_GB2312" w:cs="仿宋_GB2312"/>
          <w:b w:val="0"/>
          <w:bCs w:val="0"/>
          <w:color w:val="auto"/>
          <w:spacing w:val="8"/>
          <w:kern w:val="0"/>
          <w:sz w:val="32"/>
          <w:szCs w:val="32"/>
          <w:lang w:val="en-US" w:eastAsia="zh-CN"/>
        </w:rPr>
        <w:t>1件，已按要求和时限完成回复工作。</w:t>
      </w:r>
      <w:r>
        <w:rPr>
          <w:rFonts w:hint="eastAsia" w:ascii="仿宋_GB2312" w:hAnsi="仿宋_GB2312" w:eastAsia="仿宋_GB2312" w:cs="仿宋_GB2312"/>
          <w:b w:val="0"/>
          <w:bCs w:val="0"/>
          <w:color w:val="auto"/>
          <w:sz w:val="32"/>
          <w:szCs w:val="32"/>
        </w:rPr>
        <w:t>　　</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（四）政府信息管理情况。</w:t>
      </w:r>
      <w:r>
        <w:rPr>
          <w:rFonts w:hint="eastAsia" w:ascii="楷体_GB2312" w:hAnsi="楷体_GB2312" w:eastAsia="楷体_GB2312" w:cs="楷体_GB2312"/>
          <w:b w:val="0"/>
          <w:bCs w:val="0"/>
          <w:color w:val="auto"/>
          <w:sz w:val="32"/>
          <w:szCs w:val="32"/>
          <w:lang w:eastAsia="zh-CN"/>
        </w:rPr>
        <w:t>根据</w:t>
      </w:r>
      <w:r>
        <w:rPr>
          <w:rFonts w:hint="eastAsia" w:ascii="仿宋_GB2312" w:hAnsi="仿宋_GB2312" w:eastAsia="仿宋_GB2312" w:cs="仿宋_GB2312"/>
          <w:b w:val="0"/>
          <w:bCs w:val="0"/>
          <w:color w:val="auto"/>
          <w:sz w:val="32"/>
          <w:szCs w:val="32"/>
          <w:lang w:eastAsia="zh-CN"/>
        </w:rPr>
        <w:t>《大兴区文化和旅游局信息公开保密审查制度》要求，</w:t>
      </w:r>
      <w:r>
        <w:rPr>
          <w:rFonts w:hint="eastAsia" w:ascii="仿宋_GB2312" w:hAnsi="仿宋_GB2312" w:eastAsia="仿宋_GB2312" w:cs="仿宋_GB2312"/>
          <w:sz w:val="32"/>
          <w:szCs w:val="28"/>
          <w:lang w:eastAsia="zh-CN"/>
        </w:rPr>
        <w:t>严格落实信息发布审核机制，</w:t>
      </w:r>
      <w:r>
        <w:rPr>
          <w:rFonts w:hint="eastAsia" w:ascii="仿宋_GB2312" w:hAnsi="仿宋_GB2312" w:eastAsia="仿宋_GB2312" w:cs="仿宋_GB2312"/>
          <w:sz w:val="32"/>
          <w:szCs w:val="28"/>
        </w:rPr>
        <w:t>各部门</w:t>
      </w:r>
      <w:r>
        <w:rPr>
          <w:rFonts w:hint="eastAsia" w:ascii="仿宋_GB2312" w:hAnsi="仿宋_GB2312" w:eastAsia="仿宋_GB2312" w:cs="仿宋_GB2312"/>
          <w:sz w:val="32"/>
          <w:szCs w:val="28"/>
          <w:lang w:eastAsia="zh-CN"/>
        </w:rPr>
        <w:t>主管领导对政府信息具体内容进行</w:t>
      </w:r>
      <w:r>
        <w:rPr>
          <w:rFonts w:hint="eastAsia" w:ascii="仿宋_GB2312" w:hAnsi="仿宋_GB2312" w:eastAsia="仿宋_GB2312" w:cs="仿宋_GB2312"/>
          <w:sz w:val="32"/>
          <w:szCs w:val="28"/>
        </w:rPr>
        <w:t>审核把关</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rPr>
        <w:t>全局性</w:t>
      </w:r>
      <w:r>
        <w:rPr>
          <w:rFonts w:hint="eastAsia" w:ascii="仿宋_GB2312" w:hAnsi="仿宋_GB2312" w:eastAsia="仿宋_GB2312" w:cs="仿宋_GB2312"/>
          <w:sz w:val="32"/>
          <w:szCs w:val="28"/>
          <w:lang w:eastAsia="zh-CN"/>
        </w:rPr>
        <w:t>政府信息</w:t>
      </w:r>
      <w:r>
        <w:rPr>
          <w:rFonts w:hint="eastAsia" w:ascii="仿宋_GB2312" w:hAnsi="仿宋_GB2312" w:eastAsia="仿宋_GB2312" w:cs="仿宋_GB2312"/>
          <w:sz w:val="32"/>
          <w:szCs w:val="28"/>
        </w:rPr>
        <w:t>需</w:t>
      </w:r>
      <w:r>
        <w:rPr>
          <w:rFonts w:hint="eastAsia" w:ascii="仿宋_GB2312" w:hAnsi="仿宋_GB2312" w:eastAsia="仿宋_GB2312" w:cs="仿宋_GB2312"/>
          <w:sz w:val="32"/>
          <w:szCs w:val="28"/>
          <w:lang w:eastAsia="zh-CN"/>
        </w:rPr>
        <w:t>经信息公开工作主管领导审批后公开，重要工作信息</w:t>
      </w:r>
      <w:r>
        <w:rPr>
          <w:rFonts w:hint="eastAsia" w:ascii="仿宋_GB2312" w:hAnsi="仿宋_GB2312" w:eastAsia="仿宋_GB2312" w:cs="仿宋_GB2312"/>
          <w:sz w:val="32"/>
          <w:szCs w:val="28"/>
        </w:rPr>
        <w:t>需</w:t>
      </w:r>
      <w:r>
        <w:rPr>
          <w:rFonts w:hint="eastAsia" w:ascii="仿宋_GB2312" w:hAnsi="仿宋_GB2312" w:eastAsia="仿宋_GB2312" w:cs="仿宋_GB2312"/>
          <w:sz w:val="32"/>
          <w:szCs w:val="28"/>
          <w:lang w:eastAsia="zh-CN"/>
        </w:rPr>
        <w:t>经</w:t>
      </w:r>
      <w:r>
        <w:rPr>
          <w:rFonts w:hint="eastAsia" w:ascii="仿宋_GB2312" w:hAnsi="仿宋_GB2312" w:eastAsia="仿宋_GB2312" w:cs="仿宋_GB2312"/>
          <w:sz w:val="32"/>
          <w:szCs w:val="28"/>
        </w:rPr>
        <w:t>主要领导审核同意</w:t>
      </w:r>
      <w:r>
        <w:rPr>
          <w:rFonts w:hint="eastAsia" w:ascii="仿宋_GB2312" w:hAnsi="仿宋_GB2312" w:eastAsia="仿宋_GB2312" w:cs="仿宋_GB2312"/>
          <w:sz w:val="32"/>
          <w:szCs w:val="28"/>
          <w:lang w:eastAsia="zh-CN"/>
        </w:rPr>
        <w:t>后公开，</w:t>
      </w:r>
      <w:r>
        <w:rPr>
          <w:rFonts w:hint="eastAsia" w:ascii="仿宋_GB2312" w:hAnsi="仿宋_GB2312" w:eastAsia="仿宋_GB2312" w:cs="仿宋_GB2312"/>
          <w:sz w:val="32"/>
          <w:szCs w:val="28"/>
        </w:rPr>
        <w:t>确保</w:t>
      </w:r>
      <w:r>
        <w:rPr>
          <w:rFonts w:hint="eastAsia" w:ascii="仿宋_GB2312" w:hAnsi="仿宋_GB2312" w:eastAsia="仿宋_GB2312" w:cs="仿宋_GB2312"/>
          <w:sz w:val="32"/>
          <w:szCs w:val="28"/>
          <w:lang w:eastAsia="zh-CN"/>
        </w:rPr>
        <w:t>我局公开的政府信息</w:t>
      </w:r>
      <w:r>
        <w:rPr>
          <w:rFonts w:hint="eastAsia" w:ascii="仿宋_GB2312" w:hAnsi="仿宋_GB2312" w:eastAsia="仿宋_GB2312" w:cs="仿宋_GB2312"/>
          <w:sz w:val="32"/>
          <w:szCs w:val="28"/>
        </w:rPr>
        <w:t>内容真实、客观、准确。</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政府信息公开平台建设情况。</w:t>
      </w:r>
      <w:r>
        <w:rPr>
          <w:rFonts w:hint="eastAsia" w:ascii="仿宋_GB2312" w:hAnsi="仿宋_GB2312" w:eastAsia="仿宋_GB2312" w:cs="仿宋_GB2312"/>
          <w:color w:val="000000"/>
          <w:sz w:val="32"/>
          <w:szCs w:val="32"/>
          <w:lang w:val="zh-CN" w:eastAsia="zh-CN"/>
        </w:rPr>
        <w:t>根据《</w:t>
      </w:r>
      <w:r>
        <w:rPr>
          <w:rFonts w:hint="eastAsia" w:ascii="仿宋_GB2312" w:hAnsi="仿宋_GB2312" w:eastAsia="仿宋_GB2312" w:cs="仿宋_GB2312"/>
          <w:sz w:val="32"/>
          <w:szCs w:val="32"/>
        </w:rPr>
        <w:t>北京市大兴区人民政府网站管理运维职责分工</w:t>
      </w:r>
      <w:r>
        <w:rPr>
          <w:rFonts w:hint="eastAsia" w:ascii="仿宋_GB2312" w:hAnsi="仿宋_GB2312" w:eastAsia="仿宋_GB2312" w:cs="仿宋_GB2312"/>
          <w:color w:val="000000"/>
          <w:sz w:val="32"/>
          <w:szCs w:val="32"/>
          <w:lang w:val="zh-CN" w:eastAsia="zh-CN"/>
        </w:rPr>
        <w:t>》要求，做好</w:t>
      </w:r>
      <w:r>
        <w:rPr>
          <w:rFonts w:hint="eastAsia" w:ascii="仿宋_GB2312" w:hAnsi="仿宋_GB2312" w:eastAsia="仿宋_GB2312" w:cs="仿宋_GB2312"/>
          <w:color w:val="000000"/>
          <w:kern w:val="0"/>
          <w:sz w:val="32"/>
          <w:szCs w:val="32"/>
          <w:lang w:bidi="ar"/>
        </w:rPr>
        <w:t>网站栏目内容保障</w:t>
      </w:r>
      <w:r>
        <w:rPr>
          <w:rFonts w:hint="eastAsia" w:ascii="仿宋_GB2312" w:hAnsi="仿宋_GB2312" w:eastAsia="仿宋_GB2312" w:cs="仿宋_GB2312"/>
          <w:color w:val="000000"/>
          <w:kern w:val="0"/>
          <w:sz w:val="32"/>
          <w:szCs w:val="32"/>
          <w:lang w:eastAsia="zh-CN" w:bidi="ar"/>
        </w:rPr>
        <w:t>工作，各类信息的及时准确公开。</w:t>
      </w:r>
      <w:r>
        <w:rPr>
          <w:rFonts w:hint="eastAsia" w:ascii="仿宋_GB2312" w:hAnsi="仿宋_GB2312" w:eastAsia="仿宋_GB2312" w:cs="仿宋_GB2312"/>
          <w:color w:val="auto"/>
          <w:sz w:val="32"/>
          <w:szCs w:val="32"/>
          <w:highlight w:val="none"/>
          <w:lang w:eastAsia="zh-CN"/>
        </w:rPr>
        <w:t>借助“传统媒体</w:t>
      </w:r>
      <w:r>
        <w:rPr>
          <w:rFonts w:hint="eastAsia" w:ascii="仿宋_GB2312" w:hAnsi="仿宋_GB2312" w:eastAsia="仿宋_GB2312" w:cs="仿宋_GB2312"/>
          <w:color w:val="auto"/>
          <w:sz w:val="32"/>
          <w:szCs w:val="32"/>
          <w:highlight w:val="none"/>
          <w:lang w:val="en-US" w:eastAsia="zh-CN"/>
        </w:rPr>
        <w:t>+新媒体</w:t>
      </w:r>
      <w:r>
        <w:rPr>
          <w:rFonts w:hint="eastAsia" w:ascii="仿宋_GB2312" w:hAnsi="仿宋_GB2312" w:eastAsia="仿宋_GB2312" w:cs="仿宋_GB2312"/>
          <w:color w:val="auto"/>
          <w:sz w:val="32"/>
          <w:szCs w:val="32"/>
          <w:highlight w:val="none"/>
          <w:lang w:eastAsia="zh-CN"/>
        </w:rPr>
        <w:t>”“权威媒体</w:t>
      </w:r>
      <w:r>
        <w:rPr>
          <w:rFonts w:hint="eastAsia" w:ascii="仿宋_GB2312" w:hAnsi="仿宋_GB2312" w:eastAsia="仿宋_GB2312" w:cs="仿宋_GB2312"/>
          <w:color w:val="auto"/>
          <w:sz w:val="32"/>
          <w:szCs w:val="32"/>
          <w:highlight w:val="none"/>
          <w:lang w:val="en-US" w:eastAsia="zh-CN"/>
        </w:rPr>
        <w:t>+自媒体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等多元宣传形式，实现全媒体资源互联互通、互补互促，实现传播效果最大化和最优化。</w:t>
      </w:r>
      <w:r>
        <w:rPr>
          <w:rFonts w:hint="eastAsia" w:ascii="仿宋_GB2312" w:hAnsi="仿宋_GB2312" w:eastAsia="仿宋_GB2312" w:cs="仿宋_GB2312"/>
          <w:color w:val="auto"/>
          <w:sz w:val="32"/>
          <w:szCs w:val="32"/>
          <w:highlight w:val="none"/>
          <w:lang w:val="en-US" w:eastAsia="zh-CN"/>
        </w:rPr>
        <w:t>充分利用官方媒体和新媒体平台，形成各层次媒体互动、传统媒体与新兴媒体互补、内宣与外宣并举的信息发布体系</w:t>
      </w:r>
      <w:r>
        <w:rPr>
          <w:rFonts w:hint="eastAsia" w:ascii="仿宋_GB2312" w:hAnsi="仿宋_GB2312" w:eastAsia="仿宋_GB2312" w:cs="仿宋_GB2312"/>
          <w:b w:val="0"/>
          <w:bCs w:val="0"/>
          <w:color w:val="auto"/>
          <w:sz w:val="32"/>
          <w:szCs w:val="32"/>
        </w:rPr>
        <w:t>。</w:t>
      </w:r>
    </w:p>
    <w:p>
      <w:pPr>
        <w:pStyle w:val="6"/>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同时，区行政服务中心办事大厅文旅局窗口及区图书馆作为政府信息公开查阅点，提供信息公开相关问题咨询，方便公众查阅政府信息。</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8"/>
          <w:kern w:val="0"/>
          <w:sz w:val="32"/>
          <w:szCs w:val="32"/>
        </w:rPr>
      </w:pPr>
      <w:r>
        <w:rPr>
          <w:rFonts w:hint="eastAsia" w:ascii="楷体_GB2312" w:hAnsi="楷体_GB2312" w:eastAsia="楷体_GB2312" w:cs="楷体_GB2312"/>
          <w:b w:val="0"/>
          <w:bCs w:val="0"/>
          <w:color w:val="auto"/>
          <w:sz w:val="32"/>
          <w:szCs w:val="32"/>
        </w:rPr>
        <w:t>（六）教育培训情况。</w:t>
      </w:r>
      <w:r>
        <w:rPr>
          <w:rFonts w:hint="eastAsia" w:ascii="仿宋_GB2312" w:hAnsi="仿宋_GB2312" w:eastAsia="仿宋_GB2312" w:cs="仿宋_GB2312"/>
          <w:b w:val="0"/>
          <w:bCs w:val="0"/>
          <w:color w:val="auto"/>
          <w:sz w:val="32"/>
          <w:szCs w:val="32"/>
        </w:rPr>
        <w:t>为</w:t>
      </w:r>
      <w:r>
        <w:rPr>
          <w:rFonts w:hint="eastAsia" w:ascii="仿宋_GB2312" w:hAnsi="仿宋_GB2312" w:eastAsia="仿宋_GB2312" w:cs="仿宋_GB2312"/>
          <w:b w:val="0"/>
          <w:bCs w:val="0"/>
          <w:color w:val="auto"/>
          <w:sz w:val="32"/>
          <w:szCs w:val="32"/>
          <w:lang w:eastAsia="zh-CN"/>
        </w:rPr>
        <w:t>提升政府</w:t>
      </w:r>
      <w:r>
        <w:rPr>
          <w:rFonts w:hint="eastAsia" w:ascii="仿宋_GB2312" w:hAnsi="仿宋_GB2312" w:eastAsia="仿宋_GB2312" w:cs="仿宋_GB2312"/>
          <w:b w:val="0"/>
          <w:bCs w:val="0"/>
          <w:color w:val="auto"/>
          <w:sz w:val="32"/>
          <w:szCs w:val="32"/>
        </w:rPr>
        <w:t>信息</w:t>
      </w:r>
      <w:r>
        <w:rPr>
          <w:rFonts w:hint="eastAsia" w:ascii="仿宋_GB2312" w:hAnsi="仿宋_GB2312" w:eastAsia="仿宋_GB2312" w:cs="仿宋_GB2312"/>
          <w:b w:val="0"/>
          <w:bCs w:val="0"/>
          <w:color w:val="auto"/>
          <w:sz w:val="32"/>
          <w:szCs w:val="32"/>
          <w:lang w:eastAsia="zh-CN"/>
        </w:rPr>
        <w:t>公开</w:t>
      </w:r>
      <w:r>
        <w:rPr>
          <w:rFonts w:hint="eastAsia" w:ascii="仿宋_GB2312" w:hAnsi="仿宋_GB2312" w:eastAsia="仿宋_GB2312" w:cs="仿宋_GB2312"/>
          <w:b w:val="0"/>
          <w:bCs w:val="0"/>
          <w:color w:val="auto"/>
          <w:sz w:val="32"/>
          <w:szCs w:val="32"/>
        </w:rPr>
        <w:t>工作</w:t>
      </w:r>
      <w:r>
        <w:rPr>
          <w:rFonts w:hint="eastAsia" w:ascii="仿宋_GB2312" w:hAnsi="仿宋_GB2312" w:eastAsia="仿宋_GB2312" w:cs="仿宋_GB2312"/>
          <w:b w:val="0"/>
          <w:bCs w:val="0"/>
          <w:color w:val="auto"/>
          <w:sz w:val="32"/>
          <w:szCs w:val="32"/>
          <w:lang w:eastAsia="zh-CN"/>
        </w:rPr>
        <w:t>业务水平，加强</w:t>
      </w:r>
      <w:r>
        <w:rPr>
          <w:rFonts w:hint="eastAsia" w:ascii="仿宋_GB2312" w:hAnsi="仿宋_GB2312" w:eastAsia="仿宋_GB2312" w:cs="仿宋_GB2312"/>
          <w:sz w:val="32"/>
          <w:szCs w:val="28"/>
        </w:rPr>
        <w:t>信息</w:t>
      </w:r>
      <w:r>
        <w:rPr>
          <w:rFonts w:hint="eastAsia" w:ascii="仿宋_GB2312" w:hAnsi="仿宋_GB2312" w:eastAsia="仿宋_GB2312" w:cs="仿宋_GB2312"/>
          <w:sz w:val="32"/>
          <w:szCs w:val="28"/>
          <w:lang w:eastAsia="zh-CN"/>
        </w:rPr>
        <w:t>公开工作人员</w:t>
      </w:r>
      <w:r>
        <w:rPr>
          <w:rFonts w:hint="eastAsia" w:ascii="仿宋_GB2312" w:hAnsi="仿宋_GB2312" w:eastAsia="仿宋_GB2312" w:cs="仿宋_GB2312"/>
          <w:sz w:val="32"/>
          <w:szCs w:val="28"/>
        </w:rPr>
        <w:t>队伍</w:t>
      </w:r>
      <w:r>
        <w:rPr>
          <w:rFonts w:hint="eastAsia" w:ascii="仿宋_GB2312" w:hAnsi="仿宋_GB2312" w:eastAsia="仿宋_GB2312" w:cs="仿宋_GB2312"/>
          <w:sz w:val="32"/>
          <w:szCs w:val="28"/>
          <w:lang w:eastAsia="zh-CN"/>
        </w:rPr>
        <w:t>建设</w:t>
      </w:r>
      <w:r>
        <w:rPr>
          <w:rFonts w:hint="eastAsia" w:ascii="仿宋_GB2312" w:hAnsi="仿宋_GB2312" w:eastAsia="仿宋_GB2312" w:cs="仿宋_GB2312"/>
          <w:sz w:val="32"/>
          <w:szCs w:val="28"/>
        </w:rPr>
        <w:t>。</w:t>
      </w:r>
      <w:r>
        <w:rPr>
          <w:rFonts w:hint="eastAsia" w:ascii="仿宋_GB2312" w:hAnsi="仿宋_GB2312" w:eastAsia="仿宋_GB2312" w:cs="仿宋_GB2312"/>
          <w:b w:val="0"/>
          <w:bCs w:val="0"/>
          <w:color w:val="auto"/>
          <w:sz w:val="32"/>
          <w:szCs w:val="32"/>
          <w:lang w:eastAsia="zh-CN"/>
        </w:rPr>
        <w:t>我局不</w:t>
      </w:r>
      <w:r>
        <w:rPr>
          <w:rFonts w:hint="eastAsia" w:ascii="仿宋_GB2312" w:hAnsi="仿宋_GB2312" w:eastAsia="仿宋_GB2312" w:cs="仿宋_GB2312"/>
          <w:sz w:val="32"/>
          <w:szCs w:val="28"/>
        </w:rPr>
        <w:t>定期组织开展</w:t>
      </w:r>
      <w:r>
        <w:rPr>
          <w:rFonts w:hint="eastAsia" w:ascii="仿宋_GB2312" w:hAnsi="仿宋_GB2312" w:eastAsia="仿宋_GB2312" w:cs="仿宋_GB2312"/>
          <w:sz w:val="32"/>
          <w:szCs w:val="28"/>
          <w:lang w:eastAsia="zh-CN"/>
        </w:rPr>
        <w:t>信息公开</w:t>
      </w:r>
      <w:r>
        <w:rPr>
          <w:rFonts w:hint="eastAsia" w:ascii="仿宋_GB2312" w:hAnsi="仿宋_GB2312" w:eastAsia="仿宋_GB2312" w:cs="仿宋_GB2312"/>
          <w:sz w:val="32"/>
          <w:szCs w:val="28"/>
        </w:rPr>
        <w:t>工作经验交流会，建立微信群、</w:t>
      </w:r>
      <w:r>
        <w:rPr>
          <w:rFonts w:hint="eastAsia" w:ascii="仿宋_GB2312" w:hAnsi="仿宋_GB2312" w:eastAsia="仿宋_GB2312" w:cs="仿宋_GB2312"/>
          <w:sz w:val="32"/>
          <w:szCs w:val="28"/>
          <w:lang w:eastAsia="zh-CN"/>
        </w:rPr>
        <w:t>京办</w:t>
      </w:r>
      <w:r>
        <w:rPr>
          <w:rFonts w:hint="eastAsia" w:ascii="仿宋_GB2312" w:hAnsi="仿宋_GB2312" w:eastAsia="仿宋_GB2312" w:cs="仿宋_GB2312"/>
          <w:sz w:val="32"/>
          <w:szCs w:val="28"/>
        </w:rPr>
        <w:t>等多种沟通渠道，及时了解、指导各部门的信息</w:t>
      </w:r>
      <w:r>
        <w:rPr>
          <w:rFonts w:hint="eastAsia" w:ascii="仿宋_GB2312" w:hAnsi="仿宋_GB2312" w:eastAsia="仿宋_GB2312" w:cs="仿宋_GB2312"/>
          <w:sz w:val="32"/>
          <w:szCs w:val="28"/>
          <w:lang w:eastAsia="zh-CN"/>
        </w:rPr>
        <w:t>公开</w:t>
      </w:r>
      <w:r>
        <w:rPr>
          <w:rFonts w:hint="eastAsia" w:ascii="仿宋_GB2312" w:hAnsi="仿宋_GB2312" w:eastAsia="仿宋_GB2312" w:cs="仿宋_GB2312"/>
          <w:sz w:val="32"/>
          <w:szCs w:val="28"/>
        </w:rPr>
        <w:t>工作，</w:t>
      </w:r>
      <w:r>
        <w:rPr>
          <w:rFonts w:hint="eastAsia" w:ascii="仿宋_GB2312" w:hAnsi="仿宋_GB2312" w:eastAsia="仿宋_GB2312" w:cs="仿宋_GB2312"/>
          <w:sz w:val="32"/>
          <w:szCs w:val="28"/>
          <w:lang w:eastAsia="zh-CN"/>
        </w:rPr>
        <w:t>解决工作中遇到的问题。本年度共</w:t>
      </w:r>
      <w:r>
        <w:rPr>
          <w:rFonts w:hint="eastAsia" w:ascii="仿宋_GB2312" w:hAnsi="仿宋_GB2312" w:eastAsia="仿宋_GB2312" w:cs="仿宋_GB2312"/>
          <w:b w:val="0"/>
          <w:bCs w:val="0"/>
          <w:color w:val="auto"/>
          <w:sz w:val="32"/>
          <w:szCs w:val="32"/>
          <w:lang w:val="en-US" w:eastAsia="zh-CN"/>
        </w:rPr>
        <w:t>组织工作</w:t>
      </w:r>
      <w:r>
        <w:rPr>
          <w:rFonts w:hint="eastAsia" w:ascii="仿宋_GB2312" w:hAnsi="仿宋_GB2312" w:eastAsia="仿宋_GB2312" w:cs="仿宋_GB2312"/>
          <w:b w:val="0"/>
          <w:bCs w:val="0"/>
          <w:color w:val="auto"/>
          <w:sz w:val="32"/>
          <w:szCs w:val="32"/>
          <w:lang w:eastAsia="zh-CN"/>
        </w:rPr>
        <w:t>培训</w:t>
      </w:r>
      <w:r>
        <w:rPr>
          <w:rFonts w:hint="eastAsia" w:ascii="仿宋_GB2312" w:hAnsi="仿宋_GB2312" w:eastAsia="仿宋_GB2312" w:cs="仿宋_GB2312"/>
          <w:b w:val="0"/>
          <w:bCs w:val="0"/>
          <w:color w:val="auto"/>
          <w:sz w:val="32"/>
          <w:szCs w:val="32"/>
          <w:lang w:val="en-US" w:eastAsia="zh-CN"/>
        </w:rPr>
        <w:t>2次</w:t>
      </w:r>
      <w:r>
        <w:rPr>
          <w:rFonts w:hint="eastAsia" w:ascii="仿宋_GB2312" w:hAnsi="仿宋_GB2312" w:eastAsia="仿宋_GB2312" w:cs="仿宋_GB2312"/>
          <w:b w:val="0"/>
          <w:bCs w:val="0"/>
          <w:color w:val="auto"/>
          <w:sz w:val="32"/>
          <w:szCs w:val="32"/>
          <w:lang w:eastAsia="zh-CN"/>
        </w:rPr>
        <w:t>，工作交流会</w:t>
      </w:r>
      <w:r>
        <w:rPr>
          <w:rFonts w:hint="eastAsia" w:ascii="仿宋_GB2312" w:hAnsi="仿宋_GB2312" w:eastAsia="仿宋_GB2312" w:cs="仿宋_GB2312"/>
          <w:b w:val="0"/>
          <w:bCs w:val="0"/>
          <w:color w:val="auto"/>
          <w:sz w:val="32"/>
          <w:szCs w:val="32"/>
          <w:lang w:val="en-US" w:eastAsia="zh-CN"/>
        </w:rPr>
        <w:t>3次，共计30余人参加。</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（七）政府信息监督保障情况。</w:t>
      </w:r>
      <w:r>
        <w:rPr>
          <w:rFonts w:hint="eastAsia" w:ascii="仿宋_GB2312" w:hAnsi="仿宋_GB2312" w:eastAsia="仿宋_GB2312" w:cs="仿宋_GB2312"/>
          <w:b w:val="0"/>
          <w:bCs/>
          <w:color w:val="auto"/>
          <w:sz w:val="32"/>
          <w:szCs w:val="32"/>
          <w:highlight w:val="none"/>
          <w:shd w:val="clear" w:color="auto" w:fill="auto"/>
          <w:lang w:val="en-US" w:eastAsia="zh-CN"/>
        </w:rPr>
        <w:t>为切实加强和规范信息公开工作，本年度修订了《北京市大兴区文化和旅游局信息宣传管理制度》，完善了</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大兴区文化和旅游局</w:t>
      </w:r>
      <w:r>
        <w:rPr>
          <w:rFonts w:hint="eastAsia" w:ascii="仿宋_GB2312" w:hAnsi="仿宋_GB2312" w:eastAsia="仿宋_GB2312" w:cs="仿宋_GB2312"/>
          <w:b w:val="0"/>
          <w:bCs w:val="0"/>
          <w:color w:val="auto"/>
          <w:sz w:val="32"/>
          <w:szCs w:val="32"/>
        </w:rPr>
        <w:t>信息公开保密审查制度》</w:t>
      </w:r>
      <w:r>
        <w:rPr>
          <w:rFonts w:hint="eastAsia" w:ascii="仿宋_GB2312" w:hAnsi="仿宋_GB2312" w:eastAsia="仿宋_GB2312" w:cs="仿宋_GB2312"/>
          <w:b w:val="0"/>
          <w:bCs w:val="0"/>
          <w:color w:val="auto"/>
          <w:sz w:val="32"/>
          <w:szCs w:val="32"/>
          <w:lang w:eastAsia="zh-CN"/>
        </w:rPr>
        <w:t>、《大兴区文化和旅游局对外联系电话管理制度。同时，继续执行</w:t>
      </w:r>
      <w:r>
        <w:rPr>
          <w:rFonts w:hint="eastAsia" w:ascii="仿宋_GB2312" w:hAnsi="仿宋_GB2312" w:eastAsia="仿宋_GB2312" w:cs="仿宋_GB2312"/>
          <w:b w:val="0"/>
          <w:bCs w:val="0"/>
          <w:color w:val="auto"/>
          <w:sz w:val="32"/>
          <w:szCs w:val="32"/>
        </w:rPr>
        <w:t>《大兴区文化和旅游局信息公开工作实施方案》</w:t>
      </w:r>
      <w:r>
        <w:rPr>
          <w:rFonts w:hint="eastAsia" w:ascii="仿宋_GB2312" w:hAnsi="仿宋_GB2312" w:eastAsia="仿宋_GB2312" w:cs="仿宋_GB2312"/>
          <w:b w:val="0"/>
          <w:bCs w:val="0"/>
          <w:color w:val="auto"/>
          <w:sz w:val="32"/>
          <w:szCs w:val="32"/>
          <w:lang w:eastAsia="zh-CN"/>
        </w:rPr>
        <w:t>、《大兴区文化和旅游局依申请公开制度》</w:t>
      </w:r>
      <w:r>
        <w:rPr>
          <w:rFonts w:hint="eastAsia" w:ascii="仿宋_GB2312" w:hAnsi="仿宋_GB2312" w:eastAsia="仿宋_GB2312" w:cs="仿宋_GB2312"/>
          <w:b w:val="0"/>
          <w:bCs w:val="0"/>
          <w:color w:val="auto"/>
          <w:sz w:val="32"/>
          <w:szCs w:val="32"/>
        </w:rPr>
        <w:t>等一系列工作制度，</w:t>
      </w:r>
      <w:r>
        <w:rPr>
          <w:rFonts w:hint="eastAsia" w:ascii="仿宋_GB2312" w:hAnsi="仿宋_GB2312" w:eastAsia="仿宋_GB2312" w:cs="仿宋_GB2312"/>
          <w:b w:val="0"/>
          <w:bCs w:val="0"/>
          <w:color w:val="auto"/>
          <w:sz w:val="32"/>
          <w:szCs w:val="32"/>
          <w:lang w:eastAsia="zh-CN"/>
        </w:rPr>
        <w:t>推动</w:t>
      </w:r>
      <w:r>
        <w:rPr>
          <w:rFonts w:hint="eastAsia" w:ascii="仿宋_GB2312" w:hAnsi="仿宋_GB2312" w:eastAsia="仿宋_GB2312" w:cs="仿宋_GB2312"/>
          <w:sz w:val="32"/>
          <w:szCs w:val="32"/>
          <w:lang w:val="en-US" w:eastAsia="zh-CN"/>
        </w:rPr>
        <w:t>政府信息公开相关制度机制规范落实，保障各项工作顺利开展</w:t>
      </w:r>
      <w:r>
        <w:rPr>
          <w:rFonts w:hint="eastAsia" w:ascii="仿宋_GB2312" w:hAnsi="仿宋_GB2312" w:eastAsia="仿宋_GB2312" w:cs="仿宋_GB2312"/>
          <w:b w:val="0"/>
          <w:bCs w:val="0"/>
          <w:color w:val="auto"/>
          <w:sz w:val="32"/>
          <w:szCs w:val="32"/>
        </w:rPr>
        <w:t>。</w:t>
      </w:r>
    </w:p>
    <w:p>
      <w:pPr>
        <w:numPr>
          <w:ilvl w:val="0"/>
          <w:numId w:val="2"/>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主动公开政府信息情况</w:t>
      </w:r>
    </w:p>
    <w:tbl>
      <w:tblPr>
        <w:tblStyle w:val="8"/>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现行有效件数</w:t>
            </w:r>
          </w:p>
        </w:tc>
      </w:tr>
      <w:tr>
        <w:tblPrEx>
          <w:tblLayout w:type="fixed"/>
          <w:tblCellMar>
            <w:top w:w="0" w:type="dxa"/>
            <w:left w:w="0" w:type="dxa"/>
            <w:bottom w:w="0" w:type="dxa"/>
            <w:right w:w="0" w:type="dxa"/>
          </w:tblCellMar>
        </w:tblPrEx>
        <w:trPr>
          <w:trHeight w:val="385"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sz w:val="20"/>
                <w:szCs w:val="20"/>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sz w:val="20"/>
                <w:szCs w:val="20"/>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sz w:val="20"/>
                <w:szCs w:val="20"/>
              </w:rPr>
            </w:pPr>
            <w:r>
              <w:rPr>
                <w:rFonts w:hint="eastAsia" w:ascii="宋体" w:hAnsi="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sz w:val="20"/>
                <w:szCs w:val="20"/>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sz w:val="20"/>
                <w:szCs w:val="20"/>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sz w:val="20"/>
                <w:szCs w:val="20"/>
              </w:rPr>
            </w:pPr>
            <w:r>
              <w:rPr>
                <w:rFonts w:hint="eastAsia" w:ascii="宋体" w:hAnsi="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val="en-US" w:eastAsia="zh-CN" w:bidi="ar"/>
              </w:rPr>
              <w:t>143</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val="en-US" w:eastAsia="zh-CN" w:bidi="ar"/>
              </w:rPr>
              <w:t>102</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eastAsia" w:ascii="宋体" w:hAnsi="Times New Roman" w:eastAsia="宋体" w:cs="宋体"/>
                <w:sz w:val="24"/>
                <w:lang w:val="en-US" w:eastAsia="zh-CN"/>
              </w:rPr>
            </w:pPr>
            <w:r>
              <w:rPr>
                <w:rFonts w:hint="eastAsia" w:ascii="宋体" w:hAnsi="宋体" w:cs="宋体"/>
                <w:color w:val="000000"/>
                <w:kern w:val="0"/>
                <w:sz w:val="20"/>
                <w:szCs w:val="20"/>
                <w:lang w:val="en-US" w:eastAsia="zh-CN" w:bidi="ar"/>
              </w:rPr>
              <w:t>0</w:t>
            </w:r>
          </w:p>
        </w:tc>
      </w:tr>
    </w:tbl>
    <w:p>
      <w:pPr>
        <w:numPr>
          <w:ilvl w:val="0"/>
          <w:numId w:val="2"/>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收到和处理政府信息公开申请情况</w:t>
      </w:r>
    </w:p>
    <w:p>
      <w:pPr>
        <w:ind w:left="629"/>
        <w:rPr>
          <w:rFonts w:hint="eastAsia" w:ascii="黑体" w:hAnsi="宋体" w:eastAsia="黑体" w:cs="黑体"/>
          <w:sz w:val="24"/>
        </w:rPr>
      </w:pPr>
    </w:p>
    <w:tbl>
      <w:tblPr>
        <w:tblStyle w:val="8"/>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816" w:type="dxa"/>
            <w:gridSpan w:val="7"/>
            <w:tcBorders>
              <w:top w:val="single" w:color="auto" w:sz="8" w:space="0"/>
              <w:left w:val="single" w:color="auto" w:sz="0" w:space="0"/>
              <w:bottom w:val="wav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rPr>
                <w:rFonts w:ascii="Times New Roman" w:hAnsi="Times New Roman"/>
                <w:sz w:val="20"/>
                <w:szCs w:val="20"/>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8" w:type="dxa"/>
            <w:vMerge w:val="restart"/>
            <w:tcBorders>
              <w:top w:val="single" w:color="auto" w:sz="8" w:space="0"/>
              <w:left w:val="single" w:color="auto" w:sz="0" w:space="0"/>
              <w:bottom w:val="inset"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8" w:hRule="atLeast"/>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rPr>
                <w:rFonts w:ascii="Times New Roman" w:hAnsi="Times New Roman"/>
                <w:sz w:val="20"/>
                <w:szCs w:val="20"/>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rPr>
                <w:rFonts w:ascii="Times New Roman" w:hAnsi="Times New Roman"/>
                <w:sz w:val="20"/>
                <w:szCs w:val="20"/>
              </w:rPr>
            </w:pPr>
          </w:p>
        </w:tc>
        <w:tc>
          <w:tcPr>
            <w:tcW w:w="688" w:type="dxa"/>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8" w:type="dxa"/>
            <w:vMerge w:val="continue"/>
            <w:tcBorders>
              <w:top w:val="single" w:color="auto" w:sz="8" w:space="0"/>
              <w:left w:val="single" w:color="auto" w:sz="0" w:space="0"/>
              <w:bottom w:val="inset" w:color="auto" w:sz="8" w:space="0"/>
              <w:right w:val="single" w:color="auto" w:sz="8" w:space="0"/>
            </w:tcBorders>
            <w:shd w:val="clear" w:color="auto" w:fill="9BC2E6"/>
            <w:tcMar>
              <w:left w:w="57" w:type="dxa"/>
              <w:right w:w="57" w:type="dxa"/>
            </w:tcMar>
            <w:vAlign w:val="center"/>
          </w:tcPr>
          <w:p>
            <w:pPr>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8" w:hRule="atLeast"/>
          <w:jc w:val="center"/>
        </w:trPr>
        <w:tc>
          <w:tcPr>
            <w:tcW w:w="4932"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restart"/>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8"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8"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kern w:val="0"/>
                <w:sz w:val="20"/>
                <w:szCs w:val="20"/>
                <w:lang w:val="en-US" w:eastAsia="zh-CN" w:bidi="ar"/>
              </w:rPr>
              <w:t>1</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top"/>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restart"/>
            <w:tcBorders>
              <w:top w:val="inset" w:color="auto" w:sz="8"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kern w:val="0"/>
                <w:sz w:val="20"/>
                <w:szCs w:val="20"/>
                <w:lang w:val="en-US" w:eastAsia="zh-CN" w:bidi="ar"/>
              </w:rPr>
              <w:t>1</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single" w:color="auto" w:sz="0" w:space="0"/>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688" w:type="dxa"/>
            <w:tcBorders>
              <w:top w:val="inset" w:color="auto" w:sz="6" w:space="0"/>
              <w:left w:val="single" w:color="auto" w:sz="0" w:space="0"/>
              <w:bottom w:val="inset" w:color="auto" w:sz="6" w:space="0"/>
              <w:right w:val="inset" w:color="auto" w:sz="6" w:space="0"/>
            </w:tcBorders>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vAlign w:val="top"/>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bl>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p>
      <w:pPr>
        <w:widowControl/>
        <w:jc w:val="center"/>
      </w:pPr>
    </w:p>
    <w:tbl>
      <w:tblPr>
        <w:tblStyle w:val="8"/>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hAnsi="Times New Roman" w:eastAsia="宋体" w:cs="宋体"/>
                <w:sz w:val="24"/>
                <w:lang w:val="en-US" w:eastAsia="zh-CN"/>
              </w:rPr>
            </w:pPr>
            <w:r>
              <w:rPr>
                <w:rFonts w:hint="eastAsia" w:ascii="宋体" w:hAnsi="Times New Roman" w:cs="宋体"/>
                <w:sz w:val="24"/>
                <w:lang w:val="en-US" w:eastAsia="zh-CN"/>
              </w:rPr>
              <w:t>0</w:t>
            </w:r>
          </w:p>
        </w:tc>
      </w:tr>
    </w:tbl>
    <w:p>
      <w:pPr>
        <w:widowControl/>
        <w:jc w:val="left"/>
      </w:pPr>
    </w:p>
    <w:p>
      <w:pPr>
        <w:widowControl/>
        <w:spacing w:line="560" w:lineRule="exact"/>
        <w:ind w:firstLine="672" w:firstLineChars="200"/>
        <w:jc w:val="left"/>
        <w:rPr>
          <w:rFonts w:hint="eastAsia" w:ascii="黑体" w:hAnsi="宋体" w:eastAsia="黑体" w:cs="宋体"/>
          <w:spacing w:val="8"/>
          <w:kern w:val="0"/>
          <w:sz w:val="32"/>
          <w:szCs w:val="32"/>
          <w:lang w:bidi="ar"/>
        </w:rPr>
      </w:pPr>
    </w:p>
    <w:p>
      <w:pPr>
        <w:widowControl/>
        <w:spacing w:line="560" w:lineRule="exact"/>
        <w:ind w:firstLine="672" w:firstLineChars="200"/>
        <w:jc w:val="left"/>
        <w:rPr>
          <w:rFonts w:hint="eastAsia" w:ascii="黑体" w:hAnsi="宋体" w:eastAsia="黑体" w:cs="宋体"/>
          <w:spacing w:val="8"/>
          <w:kern w:val="0"/>
          <w:sz w:val="32"/>
          <w:szCs w:val="32"/>
          <w:lang w:bidi="ar"/>
        </w:rPr>
      </w:pPr>
    </w:p>
    <w:p>
      <w:pPr>
        <w:widowControl/>
        <w:spacing w:line="560" w:lineRule="exact"/>
        <w:ind w:firstLine="672" w:firstLineChars="200"/>
        <w:jc w:val="left"/>
        <w:rPr>
          <w:rFonts w:hint="eastAsia" w:ascii="黑体" w:hAnsi="宋体" w:eastAsia="黑体" w:cs="宋体"/>
          <w:spacing w:val="8"/>
          <w:kern w:val="0"/>
          <w:sz w:val="32"/>
          <w:szCs w:val="32"/>
          <w:lang w:bidi="ar"/>
        </w:rPr>
      </w:pPr>
    </w:p>
    <w:p>
      <w:pPr>
        <w:widowControl/>
        <w:spacing w:line="560" w:lineRule="exact"/>
        <w:ind w:firstLine="672" w:firstLineChars="200"/>
        <w:jc w:val="left"/>
        <w:rPr>
          <w:rFonts w:hint="eastAsia" w:ascii="宋体" w:hAnsi="宋体" w:cs="宋体"/>
          <w:spacing w:val="8"/>
          <w:kern w:val="0"/>
          <w:sz w:val="24"/>
        </w:rPr>
      </w:pPr>
      <w:bookmarkStart w:id="0" w:name="_GoBack"/>
      <w:bookmarkEnd w:id="0"/>
      <w:r>
        <w:rPr>
          <w:rFonts w:hint="eastAsia" w:ascii="黑体" w:hAnsi="宋体" w:eastAsia="黑体" w:cs="宋体"/>
          <w:spacing w:val="8"/>
          <w:kern w:val="0"/>
          <w:sz w:val="32"/>
          <w:szCs w:val="32"/>
          <w:lang w:bidi="ar"/>
        </w:rPr>
        <w:t>五、存在的主要问题及改进情况</w:t>
      </w:r>
    </w:p>
    <w:p>
      <w:pPr>
        <w:widowControl/>
        <w:spacing w:line="560" w:lineRule="exact"/>
        <w:ind w:firstLine="675"/>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val="en-US" w:eastAsia="zh-CN"/>
        </w:rPr>
        <w:t>2023年度，本局较好的完成了政府信息公开各项工作，但仍存在一些问题：</w:t>
      </w:r>
      <w:r>
        <w:rPr>
          <w:rFonts w:hint="eastAsia" w:ascii="仿宋_GB2312" w:hAnsi="仿宋_GB2312" w:eastAsia="仿宋_GB2312" w:cs="仿宋_GB2312"/>
          <w:sz w:val="32"/>
          <w:szCs w:val="32"/>
          <w:lang w:eastAsia="zh-CN"/>
        </w:rPr>
        <w:t>一是重点领域政府信息公开部分栏目更新不及时；二是规范性文件规范管理工作有待加强。</w:t>
      </w:r>
    </w:p>
    <w:p>
      <w:pPr>
        <w:widowControl/>
        <w:spacing w:line="560" w:lineRule="exact"/>
        <w:ind w:firstLine="675"/>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eastAsia="zh-CN"/>
        </w:rPr>
        <w:t>根据政府信息公开中存在问题，结合工作实际，</w:t>
      </w:r>
      <w:r>
        <w:rPr>
          <w:rFonts w:hint="eastAsia" w:ascii="仿宋_GB2312" w:hAnsi="仿宋_GB2312" w:eastAsia="仿宋_GB2312" w:cs="仿宋_GB2312"/>
          <w:color w:val="auto"/>
          <w:sz w:val="32"/>
          <w:szCs w:val="32"/>
          <w:highlight w:val="none"/>
          <w:lang w:eastAsia="zh-CN"/>
        </w:rPr>
        <w:t>一是</w:t>
      </w:r>
      <w:r>
        <w:rPr>
          <w:rFonts w:hint="eastAsia" w:ascii="仿宋_GB2312" w:hAnsi="仿宋_GB2312" w:eastAsia="仿宋_GB2312" w:cs="仿宋_GB2312"/>
          <w:color w:val="auto"/>
          <w:sz w:val="32"/>
          <w:szCs w:val="32"/>
          <w:highlight w:val="none"/>
        </w:rPr>
        <w:t>加强本单位</w:t>
      </w:r>
      <w:r>
        <w:rPr>
          <w:rFonts w:hint="eastAsia" w:ascii="仿宋_GB2312" w:hAnsi="仿宋_GB2312" w:eastAsia="仿宋_GB2312" w:cs="仿宋_GB2312"/>
          <w:color w:val="auto"/>
          <w:sz w:val="32"/>
          <w:szCs w:val="32"/>
          <w:highlight w:val="none"/>
          <w:lang w:eastAsia="zh-CN"/>
        </w:rPr>
        <w:t>政府信息</w:t>
      </w:r>
      <w:r>
        <w:rPr>
          <w:rFonts w:hint="eastAsia" w:ascii="仿宋_GB2312" w:hAnsi="仿宋_GB2312" w:eastAsia="仿宋_GB2312" w:cs="仿宋_GB2312"/>
          <w:color w:val="auto"/>
          <w:sz w:val="32"/>
          <w:szCs w:val="32"/>
          <w:highlight w:val="none"/>
        </w:rPr>
        <w:t>公开管理</w:t>
      </w:r>
      <w:r>
        <w:rPr>
          <w:rFonts w:hint="eastAsia" w:ascii="仿宋_GB2312" w:hAnsi="仿宋_GB2312" w:eastAsia="仿宋_GB2312" w:cs="仿宋_GB2312"/>
          <w:color w:val="auto"/>
          <w:sz w:val="32"/>
          <w:szCs w:val="32"/>
          <w:highlight w:val="none"/>
          <w:lang w:eastAsia="zh-CN"/>
        </w:rPr>
        <w:t>工作</w:t>
      </w:r>
      <w:r>
        <w:rPr>
          <w:rFonts w:hint="eastAsia" w:ascii="仿宋_GB2312" w:hAnsi="仿宋_GB2312" w:eastAsia="仿宋_GB2312" w:cs="仿宋_GB2312"/>
          <w:color w:val="auto"/>
          <w:sz w:val="32"/>
          <w:szCs w:val="32"/>
          <w:highlight w:val="none"/>
        </w:rPr>
        <w:t>，产生重点领域信息后，及时公开相关信息</w:t>
      </w:r>
      <w:r>
        <w:rPr>
          <w:rFonts w:hint="eastAsia" w:ascii="仿宋_GB2312" w:hAnsi="仿宋_GB2312" w:eastAsia="仿宋_GB2312" w:cs="仿宋_GB2312"/>
          <w:color w:val="auto"/>
          <w:sz w:val="32"/>
          <w:szCs w:val="32"/>
          <w:highlight w:val="none"/>
          <w:lang w:eastAsia="zh-CN"/>
        </w:rPr>
        <w:t>；二是做好</w:t>
      </w:r>
      <w:r>
        <w:rPr>
          <w:rFonts w:hint="eastAsia" w:ascii="仿宋_GB2312" w:hAnsi="仿宋_GB2312" w:eastAsia="仿宋_GB2312" w:cs="仿宋_GB2312"/>
          <w:color w:val="auto"/>
          <w:sz w:val="32"/>
          <w:szCs w:val="32"/>
          <w:highlight w:val="none"/>
        </w:rPr>
        <w:t>规范性文件源头管理工作，涉及政策性文件需同步开展征集意见、政策解读等工作</w:t>
      </w:r>
      <w:r>
        <w:rPr>
          <w:rFonts w:hint="eastAsia" w:ascii="仿宋_GB2312" w:hAnsi="仿宋_GB2312" w:eastAsia="仿宋_GB2312" w:cs="仿宋_GB2312"/>
          <w:color w:val="auto"/>
          <w:sz w:val="32"/>
          <w:szCs w:val="32"/>
          <w:highlight w:val="none"/>
          <w:lang w:eastAsia="zh-CN"/>
        </w:rPr>
        <w:t>。</w:t>
      </w:r>
    </w:p>
    <w:p>
      <w:pPr>
        <w:widowControl/>
        <w:spacing w:line="560" w:lineRule="exact"/>
        <w:ind w:firstLine="675"/>
        <w:jc w:val="both"/>
        <w:rPr>
          <w:rFonts w:hint="eastAsia" w:ascii="宋体" w:hAnsi="宋体" w:cs="宋体"/>
          <w:spacing w:val="8"/>
          <w:kern w:val="0"/>
          <w:sz w:val="32"/>
          <w:szCs w:val="32"/>
        </w:rPr>
      </w:pPr>
      <w:r>
        <w:rPr>
          <w:rFonts w:hint="eastAsia" w:ascii="黑体" w:hAnsi="宋体" w:eastAsia="黑体" w:cs="宋体"/>
          <w:spacing w:val="8"/>
          <w:kern w:val="0"/>
          <w:sz w:val="32"/>
          <w:szCs w:val="32"/>
          <w:lang w:bidi="ar"/>
        </w:rPr>
        <w:t>六、其他需要报告的事项</w:t>
      </w:r>
    </w:p>
    <w:p>
      <w:pPr>
        <w:widowControl/>
        <w:spacing w:line="560" w:lineRule="exact"/>
        <w:ind w:firstLine="672" w:firstLineChars="200"/>
        <w:jc w:val="both"/>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我单位本年度发出收费通知的件数和总金额以及实际收取的总金额均为0。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9DE897"/>
    <w:multiLevelType w:val="multilevel"/>
    <w:tmpl w:val="BA9DE897"/>
    <w:lvl w:ilvl="0" w:tentative="0">
      <w:start w:val="2"/>
      <w:numFmt w:val="chineseCounting"/>
      <w:suff w:val="nothing"/>
      <w:lvlText w:val="%1、"/>
      <w:lvlJc w:val="left"/>
      <w:pPr>
        <w:ind w:left="-1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5B09905"/>
    <w:multiLevelType w:val="singleLevel"/>
    <w:tmpl w:val="65B09905"/>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57AA0"/>
    <w:rsid w:val="04964687"/>
    <w:rsid w:val="06B228E8"/>
    <w:rsid w:val="0EBF4F2A"/>
    <w:rsid w:val="13384DF8"/>
    <w:rsid w:val="1FD42F64"/>
    <w:rsid w:val="27985ABA"/>
    <w:rsid w:val="31402023"/>
    <w:rsid w:val="4AA502D6"/>
    <w:rsid w:val="4E5A37C1"/>
    <w:rsid w:val="50B57AA0"/>
    <w:rsid w:val="67572FFC"/>
    <w:rsid w:val="6F5804A5"/>
    <w:rsid w:val="70B91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iPriority w:val="0"/>
    <w:pPr>
      <w:widowControl w:val="0"/>
      <w:spacing w:after="0" w:line="360" w:lineRule="auto"/>
      <w:ind w:left="0" w:leftChars="0" w:firstLine="420" w:firstLineChars="200"/>
      <w:jc w:val="both"/>
    </w:pPr>
    <w:rPr>
      <w:rFonts w:ascii="楷体_GB2312" w:hAnsi="Calibri" w:eastAsia="楷体_GB2312" w:cs="楷体_GB2312"/>
      <w:kern w:val="2"/>
      <w:sz w:val="36"/>
      <w:szCs w:val="36"/>
      <w:lang w:val="en-US" w:eastAsia="zh-CN" w:bidi="ar-SA"/>
    </w:rPr>
  </w:style>
  <w:style w:type="paragraph" w:styleId="3">
    <w:name w:val="Body Text Indent"/>
    <w:basedOn w:val="1"/>
    <w:uiPriority w:val="0"/>
    <w:pPr>
      <w:spacing w:after="120" w:afterLines="0" w:afterAutospacing="0"/>
      <w:ind w:left="420" w:leftChars="200"/>
    </w:pPr>
  </w:style>
  <w:style w:type="paragraph" w:styleId="4">
    <w:name w:val="Plain Text"/>
    <w:basedOn w:val="1"/>
    <w:qFormat/>
    <w:uiPriority w:val="0"/>
    <w:rPr>
      <w:rFonts w:ascii="宋体" w:hAnsi="Courier New"/>
    </w:rPr>
  </w:style>
  <w:style w:type="paragraph" w:styleId="5">
    <w:name w:val="Body Text Indent 2"/>
    <w:basedOn w:val="1"/>
    <w:qFormat/>
    <w:uiPriority w:val="0"/>
    <w:pPr>
      <w:spacing w:after="120" w:line="480" w:lineRule="auto"/>
      <w:ind w:left="420" w:leftChars="200"/>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2024-01-04T08:34:00Z</dcterms:created>
  <dc:creator>文旅局公文</dc:creator>
  <cp:lastModifiedBy>文旅局公文</cp:lastModifiedBy>
  <dcterms:modified xsi:type="dcterms:W3CDTF">2024-01-24T03:23:44Z</dcterms:modified>
  <dc:title>北京市大兴区文化和旅游局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