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宋体" w:cs="Times New Roman"/>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spacing w:val="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spacing w:val="0"/>
          <w:kern w:val="0"/>
          <w:sz w:val="32"/>
          <w:szCs w:val="32"/>
        </w:rPr>
      </w:pPr>
      <w:r>
        <w:rPr>
          <w:rFonts w:hint="eastAsia" w:ascii="仿宋_GB2312" w:hAnsi="宋体" w:eastAsia="仿宋_GB2312" w:cs="宋体"/>
          <w:spacing w:val="0"/>
          <w:kern w:val="0"/>
          <w:sz w:val="32"/>
          <w:szCs w:val="32"/>
          <w:lang w:bidi="ar"/>
        </w:rPr>
        <w:t>依据《中华人民共和国政府信息公开条例》(以下简称《政府信息公开条例》)第五十条规定，编制本报告。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宋体" w:eastAsia="仿宋_GB2312" w:cs="宋体"/>
          <w:spacing w:val="0"/>
          <w:kern w:val="0"/>
          <w:sz w:val="32"/>
          <w:szCs w:val="32"/>
          <w:lang w:eastAsia="zh-CN"/>
        </w:rPr>
      </w:pPr>
      <w:r>
        <w:rPr>
          <w:rFonts w:hint="eastAsia" w:ascii="黑体" w:hAnsi="宋体" w:eastAsia="黑体" w:cs="宋体"/>
          <w:spacing w:val="0"/>
          <w:kern w:val="0"/>
          <w:sz w:val="32"/>
          <w:szCs w:val="32"/>
          <w:lang w:bidi="ar"/>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704"/>
        <w:jc w:val="both"/>
        <w:textAlignment w:val="auto"/>
        <w:rPr>
          <w:rFonts w:hint="eastAsia" w:ascii="仿宋_GB2312" w:hAnsi="宋体" w:eastAsia="仿宋_GB2312" w:cs="宋体"/>
          <w:spacing w:val="0"/>
          <w:kern w:val="0"/>
          <w:sz w:val="32"/>
          <w:szCs w:val="32"/>
          <w:lang w:val="en-US" w:eastAsia="zh-CN"/>
        </w:rPr>
      </w:pPr>
      <w:r>
        <w:rPr>
          <w:rFonts w:hint="eastAsia" w:ascii="仿宋_GB2312" w:hAnsi="宋体" w:eastAsia="仿宋_GB2312" w:cs="宋体"/>
          <w:spacing w:val="0"/>
          <w:kern w:val="0"/>
          <w:sz w:val="32"/>
          <w:szCs w:val="32"/>
          <w:lang w:val="en-US" w:eastAsia="zh-CN"/>
        </w:rPr>
        <w:t>2024年，大兴区财政局坚持以习近平新时代中国特色社会主义思想为指引，深入学习贯彻习近平总书记重要讲话和党的二十大精神，紧紧围绕区委、区政府中心工作，在区政务公开领导小组的统一领导下，深入推进政府信息公开工作，保障政府信息及时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宋体" w:eastAsia="仿宋_GB2312" w:cs="宋体"/>
          <w:spacing w:val="0"/>
          <w:kern w:val="0"/>
          <w:sz w:val="32"/>
          <w:szCs w:val="32"/>
          <w:lang w:val="en-US" w:eastAsia="zh-CN"/>
        </w:rPr>
      </w:pPr>
      <w:r>
        <w:rPr>
          <w:rFonts w:hint="eastAsia" w:ascii="仿宋_GB2312" w:hAnsi="宋体" w:eastAsia="仿宋_GB2312" w:cs="宋体"/>
          <w:spacing w:val="0"/>
          <w:kern w:val="0"/>
          <w:sz w:val="32"/>
          <w:szCs w:val="32"/>
          <w:lang w:val="en-US" w:eastAsia="zh-CN"/>
        </w:rPr>
        <w:t>（一）组织领导情况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spacing w:val="0"/>
          <w:kern w:val="0"/>
          <w:sz w:val="32"/>
          <w:szCs w:val="32"/>
          <w:highlight w:val="none"/>
          <w:lang w:val="en-US" w:eastAsia="zh-CN"/>
        </w:rPr>
      </w:pPr>
      <w:r>
        <w:rPr>
          <w:rFonts w:hint="eastAsia" w:ascii="仿宋_GB2312" w:hAnsi="宋体" w:eastAsia="仿宋_GB2312" w:cs="宋体"/>
          <w:spacing w:val="0"/>
          <w:kern w:val="0"/>
          <w:sz w:val="32"/>
          <w:szCs w:val="32"/>
          <w:highlight w:val="none"/>
          <w:lang w:eastAsia="zh-CN"/>
        </w:rPr>
        <w:t>大兴区财政局高度重视政府信息公开工作，明确信息公开分管领导、部门和人员，建立局办公室牵头、各科室积极配合的信息公开协作机制，</w:t>
      </w:r>
      <w:r>
        <w:rPr>
          <w:rFonts w:hint="eastAsia" w:ascii="仿宋_GB2312" w:hAnsi="宋体" w:eastAsia="仿宋_GB2312" w:cs="宋体"/>
          <w:spacing w:val="0"/>
          <w:kern w:val="0"/>
          <w:sz w:val="32"/>
          <w:szCs w:val="32"/>
          <w:highlight w:val="none"/>
          <w:lang w:val="en-US" w:eastAsia="zh-CN"/>
        </w:rPr>
        <w:t>我局政务公开工作形成了统一指导，责任明确，层层抓落实的工作格局。实时跟进相关信息在区政府网站对应栏目的公开情况，确保信息公开工作规范、标准，保障更新及时、内容准确。</w:t>
      </w:r>
    </w:p>
    <w:p>
      <w:pPr>
        <w:keepNext w:val="0"/>
        <w:keepLines w:val="0"/>
        <w:pageBreakBefore w:val="0"/>
        <w:widowControl w:val="0"/>
        <w:kinsoku/>
        <w:wordWrap/>
        <w:overflowPunct/>
        <w:topLinePunct w:val="0"/>
        <w:autoSpaceDE/>
        <w:autoSpaceDN/>
        <w:bidi w:val="0"/>
        <w:adjustRightInd/>
        <w:snapToGrid/>
        <w:spacing w:line="560" w:lineRule="exact"/>
        <w:ind w:firstLine="675"/>
        <w:jc w:val="both"/>
        <w:textAlignment w:val="auto"/>
        <w:outlineLvl w:val="1"/>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eastAsia="zh-CN"/>
        </w:rPr>
        <w:t>（二）主动公开情况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val="en-US" w:eastAsia="zh-CN"/>
        </w:rPr>
        <w:t>2024年，我局主动公开政府信息32条，及时做好政府和部门预决算、政府采购、财政资金直达基层、执法公示、价格和收费等重点领域信息公开，实时更新机构职权信息等。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eastAsia="zh-CN"/>
        </w:rPr>
        <w:t>（三）依申请公开办理情况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val="en-US" w:eastAsia="zh-CN"/>
        </w:rPr>
        <w:t>2024年我局共受理政府信息公开申请6件，已全部按期答复。其中：部分公开1件，无法提供4件；结转下年度继续办理1件。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eastAsia="zh-CN"/>
        </w:rPr>
        <w:t>（四）政府信息管理情况。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eastAsia="zh-CN"/>
        </w:rPr>
        <w:t>严格执行《政府信息公开条例》等有关规定，完善政府信息管理工作流程。加强政务公开清单动态管理，更新政务公开全清单。持续完善</w:t>
      </w:r>
      <w:r>
        <w:rPr>
          <w:rFonts w:hint="eastAsia" w:ascii="仿宋_GB2312" w:hAnsi="宋体" w:eastAsia="仿宋_GB2312" w:cs="宋体"/>
          <w:spacing w:val="0"/>
          <w:kern w:val="0"/>
          <w:sz w:val="32"/>
          <w:szCs w:val="32"/>
          <w:lang w:val="en-US" w:eastAsia="zh-CN"/>
        </w:rPr>
        <w:t>《大兴区财政局2024年信息工作管理和考核办法》，明确各科室职责并抓好落实，进一步提升信息工作质量和水平</w:t>
      </w:r>
      <w:r>
        <w:rPr>
          <w:rFonts w:hint="eastAsia" w:ascii="仿宋_GB2312" w:hAnsi="宋体" w:eastAsia="仿宋_GB2312" w:cs="宋体"/>
          <w:spacing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eastAsia="zh-CN"/>
        </w:rPr>
        <w:t>（五）政府信息公开平台建设情况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eastAsia="zh-CN"/>
        </w:rPr>
        <w:t>我局坚持将区政府门户网站作为政府信息公开的第一平台，做好政务信息发布，搭建好与群众之间的沟通桥梁，不断丰富信息内容，及时有效发布各类惠企利民信息，为群众提供更加高效便捷的平台。同时，畅通群众诉求渠道，保持对外公开的电话、邮箱、信件畅通，为群众依申请公开提供便捷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eastAsia="zh-CN"/>
        </w:rPr>
        <w:t>（六）教育培训情况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eastAsia="zh-CN"/>
        </w:rPr>
        <w:t>我局积极参加区内各类政府信息公开业务培训，打造“青年百课堂”培训课堂，将政务公开业务纳入全局工作人员学习培训内容，通过学习政务公开相关政策要求，提升我局政府信息公开的水平和质量。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宋体" w:eastAsia="仿宋_GB2312" w:cs="宋体"/>
          <w:spacing w:val="0"/>
          <w:kern w:val="0"/>
          <w:sz w:val="32"/>
          <w:szCs w:val="32"/>
          <w:lang w:eastAsia="zh-CN"/>
        </w:rPr>
      </w:pPr>
      <w:r>
        <w:rPr>
          <w:rFonts w:hint="eastAsia" w:ascii="仿宋_GB2312" w:hAnsi="宋体" w:eastAsia="仿宋_GB2312" w:cs="宋体"/>
          <w:spacing w:val="0"/>
          <w:kern w:val="0"/>
          <w:sz w:val="32"/>
          <w:szCs w:val="32"/>
          <w:lang w:eastAsia="zh-CN"/>
        </w:rPr>
        <w:t>监督保障情况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0"/>
          <w:kern w:val="0"/>
          <w:sz w:val="32"/>
          <w:szCs w:val="32"/>
          <w:lang w:val="en-US" w:eastAsia="zh-CN"/>
        </w:rPr>
      </w:pPr>
      <w:r>
        <w:rPr>
          <w:rFonts w:hint="eastAsia" w:ascii="仿宋_GB2312" w:hAnsi="宋体" w:eastAsia="仿宋_GB2312" w:cs="宋体"/>
          <w:spacing w:val="0"/>
          <w:kern w:val="0"/>
          <w:sz w:val="32"/>
          <w:szCs w:val="32"/>
          <w:lang w:val="en-US" w:eastAsia="zh-CN"/>
        </w:rPr>
        <w:t>我局将信息公开工作纳入全局工作绩效，量化指标考核。定期查看政务媒体公开渠道留言及咨询情况，派设专人回复政务咨询，及时积极有效回应社会关切。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outlineLvl w:val="0"/>
        <w:rPr>
          <w:rFonts w:ascii="宋体" w:hAnsi="Courier New" w:eastAsia="宋体" w:cs="Times New Roman"/>
          <w:kern w:val="2"/>
          <w:sz w:val="21"/>
          <w:szCs w:val="24"/>
          <w:lang w:val="en-US" w:eastAsia="zh-CN" w:bidi="ar-SA"/>
        </w:rPr>
      </w:pPr>
      <w:r>
        <w:rPr>
          <w:rFonts w:hint="eastAsia" w:ascii="黑体" w:hAnsi="宋体" w:eastAsia="黑体" w:cs="黑体"/>
          <w:sz w:val="32"/>
          <w:szCs w:val="32"/>
          <w:lang w:eastAsia="zh-CN" w:bidi="ar"/>
        </w:rPr>
        <w:t>二、</w:t>
      </w:r>
      <w:r>
        <w:rPr>
          <w:rFonts w:hint="eastAsia" w:ascii="黑体" w:hAnsi="宋体" w:eastAsia="黑体" w:cs="黑体"/>
          <w:sz w:val="32"/>
          <w:szCs w:val="32"/>
          <w:lang w:bidi="ar"/>
        </w:rPr>
        <w:t>主动公开政府信息情况</w:t>
      </w:r>
    </w:p>
    <w:p>
      <w:pPr>
        <w:widowControl/>
        <w:jc w:val="both"/>
        <w:rPr>
          <w:rFonts w:ascii="宋体" w:hAnsi="Courier New" w:eastAsia="宋体" w:cs="Times New Roman"/>
          <w:kern w:val="2"/>
          <w:sz w:val="21"/>
          <w:szCs w:val="24"/>
          <w:lang w:val="en-US" w:eastAsia="zh-CN" w:bidi="ar-SA"/>
        </w:rPr>
      </w:pP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kern w:val="0"/>
                <w:sz w:val="20"/>
                <w:szCs w:val="20"/>
                <w:lang w:bidi="ar"/>
              </w:rPr>
              <w:t> </w:t>
            </w:r>
            <w:r>
              <w:rPr>
                <w:rFonts w:hint="eastAsia" w:asciiTheme="majorEastAsia" w:hAnsiTheme="majorEastAsia" w:eastAsiaTheme="majorEastAsia" w:cstheme="majorEastAsia"/>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kern w:val="0"/>
                <w:sz w:val="20"/>
                <w:szCs w:val="20"/>
                <w:lang w:bidi="ar"/>
              </w:rPr>
              <w:t> </w:t>
            </w:r>
            <w:r>
              <w:rPr>
                <w:rFonts w:hint="eastAsia" w:asciiTheme="majorEastAsia" w:hAnsiTheme="majorEastAsia" w:eastAsiaTheme="majorEastAsia" w:cstheme="majorEastAsia"/>
                <w:kern w:val="0"/>
                <w:sz w:val="20"/>
                <w:szCs w:val="20"/>
                <w:lang w:val="en-US" w:eastAsia="zh-CN" w:bidi="ar"/>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ascii="Times New Roman" w:hAnsi="Times New Roman" w:eastAsia="宋体" w:cs="Calibri"/>
                <w:kern w:val="0"/>
                <w:szCs w:val="21"/>
                <w:lang w:bidi="ar"/>
              </w:rPr>
              <w:t> </w:t>
            </w:r>
            <w:r>
              <w:rPr>
                <w:rFonts w:hint="eastAsia" w:asciiTheme="majorEastAsia" w:hAnsiTheme="majorEastAsia" w:eastAsiaTheme="majorEastAsia" w:cstheme="majorEastAsia"/>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val="en-US" w:eastAsia="zh-CN" w:bidi="ar"/>
              </w:rPr>
              <w:t>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default" w:ascii="宋体" w:hAnsi="Times New Roman" w:eastAsia="宋体" w:cs="宋体"/>
                <w:sz w:val="24"/>
                <w:lang w:val="en-US" w:eastAsia="zh-CN"/>
              </w:rPr>
            </w:pPr>
            <w:r>
              <w:rPr>
                <w:rFonts w:hint="eastAsia" w:ascii="宋体" w:hAnsi="Times New Roman" w:eastAsia="宋体" w:cs="宋体"/>
                <w:sz w:val="24"/>
                <w:lang w:val="en-US" w:eastAsia="zh-CN"/>
              </w:rPr>
              <w:t>124.41</w:t>
            </w:r>
          </w:p>
        </w:tc>
      </w:tr>
    </w:tbl>
    <w:p>
      <w:pPr>
        <w:widowControl/>
        <w:jc w:val="both"/>
        <w:rPr>
          <w:rFonts w:ascii="宋体" w:hAnsi="Courier New" w:eastAsia="宋体" w:cs="Times New Roman"/>
          <w:kern w:val="2"/>
          <w:sz w:val="21"/>
          <w:szCs w:val="24"/>
          <w:lang w:val="en-US" w:eastAsia="zh-CN" w:bidi="ar-SA"/>
        </w:rPr>
      </w:pPr>
    </w:p>
    <w:p>
      <w:pPr>
        <w:numPr>
          <w:ilvl w:val="0"/>
          <w:numId w:val="0"/>
        </w:numPr>
        <w:spacing w:line="560" w:lineRule="exact"/>
        <w:ind w:left="630" w:leftChars="0"/>
        <w:outlineLvl w:val="0"/>
        <w:rPr>
          <w:rFonts w:hint="eastAsia" w:ascii="黑体" w:hAnsi="宋体" w:eastAsia="黑体" w:cs="黑体"/>
          <w:sz w:val="32"/>
          <w:szCs w:val="32"/>
        </w:rPr>
      </w:pPr>
      <w:r>
        <w:rPr>
          <w:rFonts w:hint="eastAsia" w:ascii="黑体" w:hAnsi="宋体" w:eastAsia="黑体" w:cs="黑体"/>
          <w:sz w:val="32"/>
          <w:szCs w:val="32"/>
          <w:lang w:eastAsia="zh-CN" w:bidi="ar"/>
        </w:rPr>
        <w:t>三、</w:t>
      </w: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2"/>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rPr>
                <w:rFonts w:ascii="Times New Roman" w:hAnsi="Times New Roman" w:eastAsia="宋体" w:cs="Times New Roman"/>
              </w:rPr>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eastAsia="宋体" w:cs="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eastAsia="宋体" w:cs="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eastAsia="宋体" w:cs="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商业</w:t>
            </w:r>
          </w:p>
          <w:p>
            <w:pPr>
              <w:widowControl/>
              <w:jc w:val="center"/>
              <w:rPr>
                <w:rFonts w:ascii="Times New Roman" w:hAnsi="Times New Roman" w:eastAsia="宋体" w:cs="Times New Roman"/>
              </w:rPr>
            </w:pPr>
            <w:r>
              <w:rPr>
                <w:rFonts w:hint="eastAsia" w:ascii="宋体" w:hAnsi="宋体" w:eastAsia="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科研</w:t>
            </w:r>
          </w:p>
          <w:p>
            <w:pPr>
              <w:widowControl/>
              <w:jc w:val="center"/>
              <w:rPr>
                <w:rFonts w:ascii="Times New Roman" w:hAnsi="Times New Roman" w:eastAsia="宋体" w:cs="Times New Roman"/>
              </w:rPr>
            </w:pPr>
            <w:r>
              <w:rPr>
                <w:rFonts w:hint="eastAsia" w:ascii="宋体" w:hAnsi="宋体" w:eastAsia="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eastAsia="宋体" w:cs="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4</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default"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rPr>
                <w:rFonts w:ascii="Times New Roman" w:hAnsi="Times New Roman" w:eastAsia="宋体" w:cs="Times New Roman"/>
              </w:rPr>
            </w:pPr>
            <w:r>
              <w:rPr>
                <w:rFonts w:hint="eastAsia" w:ascii="宋体" w:hAnsi="宋体" w:eastAsia="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rPr>
                <w:rFonts w:ascii="Times New Roman" w:hAnsi="Times New Roman" w:eastAsia="宋体" w:cs="Times New Roman"/>
              </w:rPr>
            </w:pPr>
            <w:r>
              <w:rPr>
                <w:rFonts w:hint="eastAsia" w:ascii="宋体" w:hAnsi="宋体" w:eastAsia="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rPr>
                <w:rFonts w:ascii="Times New Roman" w:hAnsi="Times New Roman" w:eastAsia="宋体" w:cs="Times New Roman"/>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5</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default"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1</w:t>
            </w:r>
          </w:p>
        </w:tc>
      </w:tr>
    </w:tbl>
    <w:p>
      <w:pPr>
        <w:widowControl/>
        <w:jc w:val="both"/>
        <w:rPr>
          <w:rFonts w:ascii="宋体" w:hAnsi="Courier New" w:eastAsia="宋体" w:cs="Times New Roman"/>
          <w:kern w:val="2"/>
          <w:sz w:val="21"/>
          <w:szCs w:val="24"/>
          <w:lang w:val="en-US" w:eastAsia="zh-CN" w:bidi="ar-SA"/>
        </w:rPr>
      </w:pPr>
    </w:p>
    <w:p>
      <w:pPr>
        <w:spacing w:line="560" w:lineRule="exact"/>
        <w:ind w:firstLine="640" w:firstLineChars="200"/>
        <w:outlineLvl w:val="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rPr>
          <w:rFonts w:ascii="Times New Roman" w:hAnsi="Times New Roman" w:eastAsia="宋体" w:cs="Times New Roman"/>
        </w:rPr>
      </w:pPr>
    </w:p>
    <w:tbl>
      <w:tblPr>
        <w:tblStyle w:val="2"/>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 w:val="20"/>
                <w:szCs w:val="20"/>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0"/>
                <w:sz w:val="20"/>
                <w:szCs w:val="20"/>
                <w:lang w:val="en-US" w:eastAsia="zh-CN" w:bidi="ar"/>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0</w:t>
            </w:r>
          </w:p>
        </w:tc>
      </w:tr>
    </w:tbl>
    <w:p>
      <w:pPr>
        <w:widowControl/>
        <w:jc w:val="left"/>
        <w:rPr>
          <w:rFonts w:ascii="Times New Roman" w:hAnsi="Times New Roman" w:eastAsia="宋体" w:cs="Times New Roman"/>
        </w:rPr>
      </w:pPr>
    </w:p>
    <w:p>
      <w:pPr>
        <w:widowControl/>
        <w:spacing w:line="560" w:lineRule="exact"/>
        <w:ind w:firstLine="672" w:firstLineChars="200"/>
        <w:jc w:val="left"/>
        <w:outlineLvl w:val="0"/>
        <w:rPr>
          <w:rFonts w:hint="eastAsia" w:ascii="宋体" w:hAnsi="宋体" w:eastAsia="宋体" w:cs="宋体"/>
          <w:spacing w:val="8"/>
          <w:kern w:val="0"/>
          <w:sz w:val="24"/>
          <w:highlight w:val="none"/>
        </w:rPr>
      </w:pPr>
      <w:bookmarkStart w:id="0" w:name="_GoBack"/>
      <w:r>
        <w:rPr>
          <w:rFonts w:hint="eastAsia" w:ascii="黑体" w:hAnsi="宋体" w:eastAsia="黑体" w:cs="宋体"/>
          <w:spacing w:val="8"/>
          <w:kern w:val="0"/>
          <w:sz w:val="32"/>
          <w:szCs w:val="32"/>
          <w:highlight w:val="none"/>
          <w:lang w:bidi="ar"/>
        </w:rPr>
        <w:t>五、存在的主要问题及改进情况</w:t>
      </w:r>
    </w:p>
    <w:bookmarkEnd w:id="0"/>
    <w:p>
      <w:pPr>
        <w:widowControl/>
        <w:spacing w:line="560" w:lineRule="exact"/>
        <w:ind w:firstLine="672" w:firstLineChars="200"/>
        <w:jc w:val="both"/>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1.政务公开平台的宣传力度有待加强。通过新闻报道、政策解读、培训等多元化渠道，全面拓展信息公开的广度与深度，大力加强财政政策宣传力度，确保群众能够及时、准确地了解财政工作动态。</w:t>
      </w:r>
    </w:p>
    <w:p>
      <w:pPr>
        <w:widowControl/>
        <w:spacing w:line="560" w:lineRule="exact"/>
        <w:ind w:firstLine="672" w:firstLineChars="200"/>
        <w:jc w:val="left"/>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2.依申请公开处理经验不够丰富。进一步学习依申请公开业务知识，查找、收集相关案例，建立财政领域依申请公开答复专业流程。同时，加强和法律顾问的沟通交流，引用法律条文进一步规范、准确。</w:t>
      </w:r>
    </w:p>
    <w:p>
      <w:pPr>
        <w:widowControl/>
        <w:spacing w:line="560" w:lineRule="exact"/>
        <w:ind w:firstLine="675"/>
        <w:jc w:val="left"/>
        <w:outlineLvl w:val="0"/>
        <w:rPr>
          <w:rFonts w:hint="eastAsia" w:ascii="宋体" w:hAnsi="宋体" w:eastAsia="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default" w:ascii="仿宋_GB2312" w:hAnsi="宋体" w:eastAsia="仿宋_GB2312" w:cs="宋体"/>
          <w:spacing w:val="8"/>
          <w:kern w:val="0"/>
          <w:sz w:val="32"/>
          <w:szCs w:val="32"/>
          <w:lang w:val="en-US" w:eastAsia="zh-CN"/>
        </w:rPr>
      </w:pPr>
      <w:r>
        <w:rPr>
          <w:rFonts w:hint="eastAsia" w:ascii="宋体" w:hAnsi="宋体" w:eastAsia="宋体" w:cs="宋体"/>
          <w:spacing w:val="8"/>
          <w:kern w:val="0"/>
          <w:sz w:val="32"/>
          <w:szCs w:val="32"/>
          <w:lang w:bidi="ar"/>
        </w:rPr>
        <w:t>　　</w:t>
      </w:r>
      <w:r>
        <w:rPr>
          <w:rFonts w:hint="eastAsia" w:ascii="仿宋_GB2312" w:hAnsi="宋体" w:eastAsia="仿宋_GB2312" w:cs="宋体"/>
          <w:spacing w:val="8"/>
          <w:kern w:val="0"/>
          <w:sz w:val="32"/>
          <w:szCs w:val="32"/>
          <w:lang w:val="en-US" w:eastAsia="zh-CN"/>
        </w:rPr>
        <w:t>我单位本年度发出收费通知的件数和总金额以及实际收取的总金额均为0。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9BB288"/>
    <w:multiLevelType w:val="singleLevel"/>
    <w:tmpl w:val="659BB288"/>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EFEF58E2"/>
    <w:rsid w:val="23F95465"/>
    <w:rsid w:val="2F575987"/>
    <w:rsid w:val="342D2427"/>
    <w:rsid w:val="3B9910E5"/>
    <w:rsid w:val="3BA76662"/>
    <w:rsid w:val="3D205D89"/>
    <w:rsid w:val="3F7B33D6"/>
    <w:rsid w:val="3FEAC05E"/>
    <w:rsid w:val="463F1CF2"/>
    <w:rsid w:val="51FDDBBF"/>
    <w:rsid w:val="53EC4BF7"/>
    <w:rsid w:val="57E4806E"/>
    <w:rsid w:val="59FF39C4"/>
    <w:rsid w:val="5A4F64FE"/>
    <w:rsid w:val="5E7F64B4"/>
    <w:rsid w:val="68F64379"/>
    <w:rsid w:val="6F5B94DF"/>
    <w:rsid w:val="765724E5"/>
    <w:rsid w:val="774D20B5"/>
    <w:rsid w:val="77AE07E0"/>
    <w:rsid w:val="79BFDB91"/>
    <w:rsid w:val="7DAF21D7"/>
    <w:rsid w:val="7E116CB5"/>
    <w:rsid w:val="7F3312FA"/>
    <w:rsid w:val="7FDE6FBB"/>
    <w:rsid w:val="7FF95297"/>
    <w:rsid w:val="7FFB8416"/>
    <w:rsid w:val="9DD9D8D8"/>
    <w:rsid w:val="9FF531B3"/>
    <w:rsid w:val="ADDDB975"/>
    <w:rsid w:val="B7B51A24"/>
    <w:rsid w:val="BB8D0565"/>
    <w:rsid w:val="BBFE267A"/>
    <w:rsid w:val="BFD523F3"/>
    <w:rsid w:val="CBBBEC20"/>
    <w:rsid w:val="ED4D0EB8"/>
    <w:rsid w:val="EFB902A0"/>
    <w:rsid w:val="EFEF58E2"/>
    <w:rsid w:val="F6EFCEBD"/>
    <w:rsid w:val="FA0B334C"/>
    <w:rsid w:val="FABF443D"/>
    <w:rsid w:val="FB56B115"/>
    <w:rsid w:val="FD839401"/>
    <w:rsid w:val="FEB913C7"/>
    <w:rsid w:val="FEDE6204"/>
    <w:rsid w:val="FFABDD57"/>
    <w:rsid w:val="FFFBB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2024-01-05T16:22:00Z</dcterms:created>
  <dc:creator> </dc:creator>
  <cp:lastModifiedBy>1</cp:lastModifiedBy>
  <cp:lastPrinted>2024-04-25T19:56:00Z</cp:lastPrinted>
  <dcterms:modified xsi:type="dcterms:W3CDTF">2025-01-16T07:15:19Z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7CE903D1D71B4B1DA5A68A02F0EF480C_12</vt:lpwstr>
  </property>
</Properties>
</file>