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北京市</w:t>
      </w:r>
      <w:r>
        <w:rPr>
          <w:rFonts w:hint="eastAsia" w:ascii="方正小标宋简体" w:hAnsi="方正小标宋简体" w:eastAsia="方正小标宋简体" w:cs="方正小标宋简体"/>
          <w:sz w:val="44"/>
          <w:szCs w:val="44"/>
          <w:lang w:eastAsia="zh-CN"/>
        </w:rPr>
        <w:t>大兴区教育委员会</w:t>
      </w:r>
    </w:p>
    <w:p>
      <w:pPr>
        <w:keepNext w:val="0"/>
        <w:keepLines w:val="0"/>
        <w:pageBreakBefore w:val="0"/>
        <w:kinsoku/>
        <w:wordWrap/>
        <w:overflowPunct/>
        <w:topLinePunct w:val="0"/>
        <w:autoSpaceDE/>
        <w:autoSpaceDN/>
        <w:bidi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2024</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spacing w:line="560" w:lineRule="exact"/>
        <w:ind w:right="0" w:rightChars="0"/>
        <w:jc w:val="center"/>
        <w:textAlignment w:val="auto"/>
        <w:outlineLvl w:val="9"/>
        <w:rPr>
          <w:sz w:val="44"/>
          <w:szCs w:val="44"/>
        </w:rPr>
      </w:pPr>
    </w:p>
    <w:p>
      <w:pPr>
        <w:keepNext w:val="0"/>
        <w:keepLines w:val="0"/>
        <w:pageBreakBefore w:val="0"/>
        <w:widowControl/>
        <w:kinsoku/>
        <w:wordWrap/>
        <w:overflowPunct/>
        <w:topLinePunct w:val="0"/>
        <w:autoSpaceDE/>
        <w:autoSpaceDN/>
        <w:bidi w:val="0"/>
        <w:spacing w:line="560" w:lineRule="exact"/>
        <w:ind w:right="0" w:rightChars="0"/>
        <w:jc w:val="left"/>
        <w:textAlignment w:val="auto"/>
        <w:outlineLvl w:val="9"/>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right="0" w:rightChars="0" w:firstLine="672" w:firstLineChars="200"/>
        <w:jc w:val="left"/>
        <w:textAlignment w:val="auto"/>
        <w:outlineLvl w:val="9"/>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spacing w:line="560" w:lineRule="exact"/>
        <w:ind w:right="0" w:rightChars="0" w:firstLine="675"/>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（一）组织领导情况</w:t>
      </w:r>
    </w:p>
    <w:p>
      <w:pPr>
        <w:keepNext w:val="0"/>
        <w:keepLines w:val="0"/>
        <w:pageBreakBefore w:val="0"/>
        <w:widowControl/>
        <w:kinsoku/>
        <w:wordWrap/>
        <w:overflowPunct/>
        <w:topLinePunct w:val="0"/>
        <w:autoSpaceDE/>
        <w:autoSpaceDN/>
        <w:bidi w:val="0"/>
        <w:spacing w:line="560" w:lineRule="exact"/>
        <w:ind w:right="0" w:rightChars="0" w:firstLine="675"/>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大兴区教育委员会政务公开领导小组</w:t>
      </w:r>
      <w:r>
        <w:rPr>
          <w:rFonts w:hint="eastAsia" w:ascii="仿宋_GB2312" w:eastAsia="仿宋_GB2312"/>
          <w:sz w:val="32"/>
          <w:szCs w:val="32"/>
          <w:lang w:val="en-US" w:eastAsia="zh-CN"/>
        </w:rPr>
        <w:t>由主管领导任组长，下设办公室在行政办，由行政办负责统筹协调政府信息公开工作。2024年，区教委认真贯彻落实</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eastAsia="zh-CN"/>
        </w:rPr>
        <w:t>和市、区关于做好政务公开工作的有关要求，认真履行职责，</w:t>
      </w:r>
      <w:r>
        <w:rPr>
          <w:rFonts w:hint="eastAsia" w:ascii="仿宋_GB2312" w:eastAsia="仿宋_GB2312"/>
          <w:sz w:val="32"/>
          <w:szCs w:val="32"/>
        </w:rPr>
        <w:t>着力抓好政府信息主动公开、依申请公开、政府网站建设管理等重点工作</w:t>
      </w:r>
      <w:r>
        <w:rPr>
          <w:rFonts w:hint="eastAsia" w:ascii="仿宋_GB2312" w:eastAsia="仿宋_GB2312"/>
          <w:sz w:val="32"/>
          <w:szCs w:val="32"/>
          <w:lang w:eastAsia="zh-CN"/>
        </w:rPr>
        <w:t>。</w:t>
      </w:r>
    </w:p>
    <w:p>
      <w:pPr>
        <w:pStyle w:val="7"/>
        <w:keepNext w:val="0"/>
        <w:keepLines w:val="0"/>
        <w:pageBreakBefore w:val="0"/>
        <w:kinsoku/>
        <w:wordWrap/>
        <w:overflowPunct/>
        <w:topLinePunct w:val="0"/>
        <w:autoSpaceDE/>
        <w:autoSpaceDN/>
        <w:bidi w:val="0"/>
        <w:spacing w:after="0" w:line="560" w:lineRule="exact"/>
        <w:ind w:right="0" w:rightChars="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（二）主动公开情况</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zh-CN" w:eastAsia="zh-CN"/>
        </w:rPr>
      </w:pPr>
      <w:r>
        <w:rPr>
          <w:rFonts w:hint="eastAsia" w:ascii="仿宋_GB2312" w:eastAsia="仿宋_GB2312" w:cs="Times New Roman"/>
          <w:sz w:val="32"/>
          <w:szCs w:val="32"/>
          <w:lang w:val="en-US" w:eastAsia="zh-CN" w:bidi="ar-SA"/>
        </w:rPr>
        <w:t>2024</w:t>
      </w:r>
      <w:r>
        <w:rPr>
          <w:rFonts w:hint="eastAsia" w:ascii="仿宋_GB2312" w:hAnsi="Times New Roman" w:eastAsia="仿宋_GB2312" w:cs="Times New Roman"/>
          <w:sz w:val="32"/>
          <w:szCs w:val="32"/>
          <w:lang w:val="en-US" w:eastAsia="zh-CN" w:bidi="ar-SA"/>
        </w:rPr>
        <w:t>年</w:t>
      </w:r>
      <w:r>
        <w:rPr>
          <w:rFonts w:hint="eastAsia" w:ascii="仿宋_GB2312" w:eastAsia="仿宋_GB2312" w:cs="Times New Roman"/>
          <w:sz w:val="32"/>
          <w:szCs w:val="32"/>
          <w:lang w:val="en-US" w:eastAsia="zh-CN" w:bidi="ar-SA"/>
        </w:rPr>
        <w:t>，区教委</w:t>
      </w:r>
      <w:r>
        <w:rPr>
          <w:rFonts w:hint="eastAsia" w:ascii="仿宋_GB2312" w:hAnsi="Times New Roman" w:eastAsia="仿宋_GB2312" w:cs="Times New Roman"/>
          <w:sz w:val="32"/>
          <w:szCs w:val="32"/>
          <w:lang w:val="en-US" w:eastAsia="zh-CN" w:bidi="ar-SA"/>
        </w:rPr>
        <w:t>在区政府网站</w:t>
      </w:r>
      <w:r>
        <w:rPr>
          <w:rFonts w:hint="eastAsia" w:ascii="仿宋_GB2312" w:eastAsia="仿宋_GB2312" w:cs="Times New Roman"/>
          <w:sz w:val="32"/>
          <w:szCs w:val="32"/>
          <w:lang w:val="en-US" w:eastAsia="zh-CN" w:bidi="ar-SA"/>
        </w:rPr>
        <w:t>主动</w:t>
      </w:r>
      <w:r>
        <w:rPr>
          <w:rFonts w:hint="eastAsia" w:ascii="仿宋_GB2312" w:hAnsi="Times New Roman" w:eastAsia="仿宋_GB2312" w:cs="Times New Roman"/>
          <w:sz w:val="32"/>
          <w:szCs w:val="32"/>
          <w:lang w:val="en-US" w:eastAsia="zh-CN" w:bidi="ar-SA"/>
        </w:rPr>
        <w:t>公开政府信息</w:t>
      </w:r>
      <w:r>
        <w:rPr>
          <w:rFonts w:hint="eastAsia" w:ascii="仿宋_GB2312" w:eastAsia="仿宋_GB2312" w:cs="Times New Roman"/>
          <w:color w:val="auto"/>
          <w:sz w:val="32"/>
          <w:szCs w:val="32"/>
          <w:lang w:val="en-US" w:eastAsia="zh-CN" w:bidi="ar-SA"/>
        </w:rPr>
        <w:t>50多</w:t>
      </w:r>
      <w:r>
        <w:rPr>
          <w:rFonts w:hint="eastAsia" w:ascii="仿宋_GB2312" w:hAnsi="Times New Roman" w:eastAsia="仿宋_GB2312" w:cs="Times New Roman"/>
          <w:color w:val="auto"/>
          <w:sz w:val="32"/>
          <w:szCs w:val="32"/>
          <w:lang w:val="en-US" w:eastAsia="zh-CN" w:bidi="ar-SA"/>
        </w:rPr>
        <w:t>条</w:t>
      </w:r>
      <w:r>
        <w:rPr>
          <w:rFonts w:hint="eastAsia" w:ascii="仿宋_GB2312" w:eastAsia="仿宋_GB2312" w:cs="Times New Roman"/>
          <w:sz w:val="32"/>
          <w:szCs w:val="32"/>
          <w:lang w:val="en-US" w:eastAsia="zh-CN" w:bidi="ar-SA"/>
        </w:rPr>
        <w:t>，</w:t>
      </w:r>
      <w:r>
        <w:rPr>
          <w:rFonts w:hint="eastAsia" w:ascii="仿宋_GB2312" w:hAnsi="Times New Roman" w:eastAsia="仿宋_GB2312" w:cs="Times New Roman"/>
          <w:sz w:val="32"/>
          <w:szCs w:val="32"/>
          <w:highlight w:val="none"/>
          <w:lang w:val="en-US" w:eastAsia="zh-CN" w:bidi="ar-SA"/>
        </w:rPr>
        <w:t>进一</w:t>
      </w:r>
      <w:r>
        <w:rPr>
          <w:rFonts w:hint="eastAsia" w:ascii="仿宋_GB2312" w:eastAsia="仿宋_GB2312" w:cs="Times New Roman"/>
          <w:sz w:val="32"/>
          <w:szCs w:val="32"/>
          <w:highlight w:val="none"/>
          <w:lang w:val="en-US" w:eastAsia="zh-CN" w:bidi="ar-SA"/>
        </w:rPr>
        <w:t>步</w:t>
      </w:r>
      <w:r>
        <w:rPr>
          <w:rFonts w:hint="eastAsia" w:ascii="仿宋_GB2312" w:hAnsi="Times New Roman" w:eastAsia="仿宋_GB2312" w:cs="Times New Roman"/>
          <w:sz w:val="32"/>
          <w:szCs w:val="32"/>
          <w:highlight w:val="none"/>
          <w:lang w:val="en-US" w:eastAsia="zh-CN" w:bidi="ar-SA"/>
        </w:rPr>
        <w:t>推进</w:t>
      </w:r>
      <w:r>
        <w:rPr>
          <w:rFonts w:hint="eastAsia" w:ascii="仿宋_GB2312" w:eastAsia="仿宋_GB2312" w:cs="Times New Roman"/>
          <w:sz w:val="32"/>
          <w:szCs w:val="32"/>
          <w:highlight w:val="none"/>
          <w:lang w:val="en-US" w:eastAsia="zh-CN" w:bidi="ar-SA"/>
        </w:rPr>
        <w:t>了</w:t>
      </w:r>
      <w:r>
        <w:rPr>
          <w:rFonts w:hint="eastAsia" w:ascii="仿宋_GB2312" w:hAnsi="Times New Roman" w:eastAsia="仿宋_GB2312" w:cs="Times New Roman"/>
          <w:sz w:val="32"/>
          <w:szCs w:val="32"/>
          <w:highlight w:val="none"/>
          <w:lang w:val="en-US" w:eastAsia="zh-CN" w:bidi="ar-SA"/>
        </w:rPr>
        <w:t>重点领域中教育领域</w:t>
      </w:r>
      <w:r>
        <w:rPr>
          <w:rFonts w:hint="eastAsia" w:ascii="仿宋_GB2312" w:eastAsia="仿宋_GB2312" w:cs="Times New Roman"/>
          <w:sz w:val="32"/>
          <w:szCs w:val="32"/>
          <w:highlight w:val="none"/>
          <w:lang w:val="en-US" w:eastAsia="zh-CN" w:bidi="ar-SA"/>
        </w:rPr>
        <w:t>的</w:t>
      </w:r>
      <w:r>
        <w:rPr>
          <w:rFonts w:hint="eastAsia" w:ascii="仿宋_GB2312" w:hAnsi="Times New Roman" w:eastAsia="仿宋_GB2312" w:cs="Times New Roman"/>
          <w:sz w:val="32"/>
          <w:szCs w:val="32"/>
          <w:highlight w:val="none"/>
          <w:lang w:val="en-US" w:eastAsia="zh-CN" w:bidi="ar-SA"/>
        </w:rPr>
        <w:t>信息公开</w:t>
      </w:r>
      <w:r>
        <w:rPr>
          <w:rFonts w:hint="eastAsia" w:ascii="仿宋_GB2312" w:eastAsia="仿宋_GB2312" w:cs="Times New Roman"/>
          <w:sz w:val="32"/>
          <w:szCs w:val="32"/>
          <w:highlight w:val="none"/>
          <w:lang w:val="en-US" w:eastAsia="zh-CN" w:bidi="ar-SA"/>
        </w:rPr>
        <w:t>。主动公开非本市户籍适龄儿童少年接受义务教育材料审核指导要求、2023—2024学年大兴区教育简况、大兴区教育委员会及所属单位2024年部门预算公开、大兴区民办学校2023年度报告结果公告、</w:t>
      </w:r>
      <w:r>
        <w:rPr>
          <w:rFonts w:hint="eastAsia" w:ascii="仿宋_GB2312" w:hAnsi="Times New Roman" w:eastAsia="仿宋_GB2312" w:cs="Times New Roman"/>
          <w:sz w:val="32"/>
          <w:szCs w:val="32"/>
          <w:highlight w:val="none"/>
          <w:lang w:val="en-US" w:eastAsia="zh-CN" w:bidi="ar-SA"/>
        </w:rPr>
        <w:t>2024年大兴区幼儿园名单公示</w:t>
      </w:r>
      <w:r>
        <w:rPr>
          <w:rFonts w:hint="eastAsia" w:ascii="仿宋_GB2312" w:eastAsia="仿宋_GB2312" w:cs="Times New Roman"/>
          <w:sz w:val="32"/>
          <w:szCs w:val="32"/>
          <w:highlight w:val="none"/>
          <w:lang w:val="en-US" w:eastAsia="zh-CN" w:bidi="ar-SA"/>
        </w:rPr>
        <w:t>、</w:t>
      </w:r>
      <w:r>
        <w:rPr>
          <w:rFonts w:hint="eastAsia" w:ascii="仿宋_GB2312" w:hAnsi="Times New Roman" w:eastAsia="仿宋_GB2312" w:cs="Times New Roman"/>
          <w:sz w:val="32"/>
          <w:szCs w:val="32"/>
          <w:highlight w:val="none"/>
          <w:lang w:val="en-US" w:eastAsia="zh-CN" w:bidi="ar-SA"/>
        </w:rPr>
        <w:t>关于大兴区拟享受2024年市区级租金补助普惠性幼儿园（办园点）名单的公示等重点教育领域信息。同时，</w:t>
      </w:r>
      <w:r>
        <w:rPr>
          <w:rFonts w:hint="eastAsia" w:ascii="仿宋_GB2312" w:hAnsi="宋体" w:eastAsia="仿宋_GB2312" w:cs="宋体"/>
          <w:spacing w:val="0"/>
          <w:kern w:val="0"/>
          <w:sz w:val="32"/>
          <w:szCs w:val="32"/>
          <w:highlight w:val="none"/>
        </w:rPr>
        <w:t>落实行政许可和行政处罚信息“双公示”要求，完善</w:t>
      </w:r>
      <w:r>
        <w:rPr>
          <w:rFonts w:hint="eastAsia" w:ascii="仿宋_GB2312" w:hAnsi="宋体" w:eastAsia="仿宋_GB2312" w:cs="宋体"/>
          <w:spacing w:val="0"/>
          <w:kern w:val="0"/>
          <w:sz w:val="32"/>
          <w:szCs w:val="32"/>
          <w:highlight w:val="none"/>
          <w:lang w:eastAsia="zh-CN"/>
        </w:rPr>
        <w:t>相关</w:t>
      </w:r>
      <w:r>
        <w:rPr>
          <w:rFonts w:hint="eastAsia" w:ascii="仿宋_GB2312" w:hAnsi="宋体" w:eastAsia="仿宋_GB2312" w:cs="宋体"/>
          <w:spacing w:val="0"/>
          <w:kern w:val="0"/>
          <w:sz w:val="32"/>
          <w:szCs w:val="32"/>
          <w:highlight w:val="none"/>
        </w:rPr>
        <w:t>信息发布工作。</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（三）依申请公开办理情况</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rPr>
          <w:rFonts w:hint="eastAsia" w:ascii="仿宋_GB2312" w:hAnsi="仿宋" w:eastAsia="仿宋_GB2312" w:cs="仿宋_GB2312"/>
          <w:sz w:val="32"/>
          <w:szCs w:val="32"/>
        </w:rPr>
      </w:pPr>
      <w:r>
        <w:rPr>
          <w:rFonts w:hint="eastAsia" w:ascii="仿宋_GB2312" w:eastAsia="仿宋_GB2312"/>
          <w:sz w:val="32"/>
          <w:szCs w:val="32"/>
          <w:lang w:eastAsia="zh-CN"/>
        </w:rPr>
        <w:t>2024</w:t>
      </w:r>
      <w:r>
        <w:rPr>
          <w:rFonts w:hint="eastAsia" w:ascii="仿宋_GB2312" w:eastAsia="仿宋_GB2312"/>
          <w:sz w:val="32"/>
          <w:szCs w:val="32"/>
        </w:rPr>
        <w:t>年新接收</w:t>
      </w:r>
      <w:r>
        <w:rPr>
          <w:rFonts w:hint="eastAsia" w:ascii="仿宋_GB2312" w:hAnsi="仿宋" w:eastAsia="仿宋_GB2312" w:cs="仿宋_GB2312"/>
          <w:sz w:val="32"/>
          <w:szCs w:val="32"/>
        </w:rPr>
        <w:t>政府信息公开申请</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件，共答复</w:t>
      </w:r>
      <w:r>
        <w:rPr>
          <w:rFonts w:hint="eastAsia" w:ascii="仿宋_GB2312" w:hAnsi="仿宋" w:eastAsia="仿宋_GB2312" w:cs="仿宋_GB2312"/>
          <w:sz w:val="32"/>
          <w:szCs w:val="32"/>
          <w:lang w:val="en-US" w:eastAsia="zh-CN"/>
        </w:rPr>
        <w:t>11</w:t>
      </w:r>
      <w:r>
        <w:rPr>
          <w:rFonts w:hint="eastAsia" w:ascii="仿宋_GB2312" w:hAnsi="仿宋" w:eastAsia="仿宋_GB2312" w:cs="仿宋_GB2312"/>
          <w:sz w:val="32"/>
          <w:szCs w:val="32"/>
        </w:rPr>
        <w:t>件</w:t>
      </w:r>
      <w:r>
        <w:rPr>
          <w:rFonts w:hint="eastAsia" w:ascii="仿宋_GB2312" w:hAnsi="仿宋" w:eastAsia="仿宋_GB2312" w:cs="仿宋_GB2312"/>
          <w:sz w:val="32"/>
          <w:szCs w:val="32"/>
          <w:lang w:eastAsia="zh-CN"/>
        </w:rPr>
        <w:t>，结</w:t>
      </w:r>
      <w:r>
        <w:rPr>
          <w:rFonts w:hint="eastAsia" w:ascii="仿宋_GB2312" w:hAnsi="仿宋" w:eastAsia="仿宋_GB2312" w:cs="仿宋_GB2312"/>
          <w:sz w:val="32"/>
          <w:szCs w:val="32"/>
          <w:lang w:val="en-US" w:eastAsia="zh-CN"/>
        </w:rPr>
        <w:t>转到2025年0件。2024年没有涉及政府信息公开行政复议、行政诉讼情况。</w:t>
      </w:r>
    </w:p>
    <w:p>
      <w:pPr>
        <w:pStyle w:val="7"/>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（四）政府信息管理情况</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以区政府门户网站和教育两委官方微信公众号“兴教时讯”为平台，主动公开</w:t>
      </w:r>
      <w:r>
        <w:rPr>
          <w:rFonts w:hint="eastAsia" w:ascii="仿宋_GB2312" w:eastAsia="仿宋_GB2312" w:cs="Times New Roman"/>
          <w:kern w:val="2"/>
          <w:sz w:val="32"/>
          <w:szCs w:val="32"/>
          <w:lang w:val="en-US" w:eastAsia="zh-CN" w:bidi="ar-SA"/>
        </w:rPr>
        <w:t>2024</w:t>
      </w:r>
      <w:r>
        <w:rPr>
          <w:rFonts w:hint="eastAsia" w:ascii="仿宋_GB2312" w:hAnsi="Times New Roman" w:eastAsia="仿宋_GB2312" w:cs="Times New Roman"/>
          <w:kern w:val="2"/>
          <w:sz w:val="32"/>
          <w:szCs w:val="32"/>
          <w:lang w:val="en-US" w:eastAsia="zh-CN" w:bidi="ar-SA"/>
        </w:rPr>
        <w:t>年义务教育阶段入学工作</w:t>
      </w:r>
      <w:r>
        <w:rPr>
          <w:rFonts w:hint="eastAsia" w:ascii="仿宋_GB2312" w:eastAsia="仿宋_GB2312" w:cs="Times New Roman"/>
          <w:kern w:val="2"/>
          <w:sz w:val="32"/>
          <w:szCs w:val="32"/>
          <w:lang w:val="en-US" w:eastAsia="zh-CN" w:bidi="ar-SA"/>
        </w:rPr>
        <w:t>指导</w:t>
      </w:r>
      <w:r>
        <w:rPr>
          <w:rFonts w:hint="eastAsia" w:ascii="仿宋_GB2312" w:hAnsi="Times New Roman" w:eastAsia="仿宋_GB2312" w:cs="Times New Roman"/>
          <w:kern w:val="2"/>
          <w:sz w:val="32"/>
          <w:szCs w:val="32"/>
          <w:lang w:val="en-US" w:eastAsia="zh-CN" w:bidi="ar-SA"/>
        </w:rPr>
        <w:t>意见、</w:t>
      </w:r>
      <w:r>
        <w:rPr>
          <w:rFonts w:hint="eastAsia" w:ascii="仿宋_GB2312" w:eastAsia="仿宋_GB2312" w:cs="Times New Roman"/>
          <w:kern w:val="2"/>
          <w:sz w:val="32"/>
          <w:szCs w:val="32"/>
          <w:lang w:val="en-US" w:eastAsia="zh-CN" w:bidi="ar-SA"/>
        </w:rPr>
        <w:t>2024年教育要干这些事</w:t>
      </w:r>
      <w:r>
        <w:rPr>
          <w:rFonts w:hint="eastAsia" w:ascii="仿宋_GB2312" w:hAnsi="Times New Roman" w:eastAsia="仿宋_GB2312" w:cs="Times New Roman"/>
          <w:kern w:val="2"/>
          <w:sz w:val="32"/>
          <w:szCs w:val="32"/>
          <w:lang w:val="en-US" w:eastAsia="zh-CN" w:bidi="ar-SA"/>
        </w:rPr>
        <w:t>等群众关切的信息。全年在区政府网站公开信息</w:t>
      </w:r>
      <w:r>
        <w:rPr>
          <w:rFonts w:hint="eastAsia" w:ascii="仿宋_GB2312" w:eastAsia="仿宋_GB2312" w:cs="Times New Roman"/>
          <w:color w:val="auto"/>
          <w:sz w:val="32"/>
          <w:szCs w:val="32"/>
          <w:lang w:val="en-US" w:eastAsia="zh-CN" w:bidi="ar-SA"/>
        </w:rPr>
        <w:t>50多</w:t>
      </w:r>
      <w:r>
        <w:rPr>
          <w:rFonts w:hint="eastAsia" w:ascii="仿宋_GB2312" w:hAnsi="Times New Roman" w:eastAsia="仿宋_GB2312" w:cs="Times New Roman"/>
          <w:color w:val="auto"/>
          <w:sz w:val="32"/>
          <w:szCs w:val="32"/>
          <w:lang w:val="en-US" w:eastAsia="zh-CN" w:bidi="ar-SA"/>
        </w:rPr>
        <w:t>条</w:t>
      </w:r>
      <w:r>
        <w:rPr>
          <w:rFonts w:hint="eastAsia" w:ascii="仿宋_GB2312" w:hAnsi="Times New Roman" w:eastAsia="仿宋_GB2312" w:cs="Times New Roman"/>
          <w:kern w:val="2"/>
          <w:sz w:val="32"/>
          <w:szCs w:val="32"/>
          <w:lang w:val="en-US" w:eastAsia="zh-CN" w:bidi="ar-SA"/>
        </w:rPr>
        <w:t>。同时借助“兴教时讯”</w:t>
      </w:r>
      <w:r>
        <w:rPr>
          <w:rFonts w:hint="eastAsia" w:ascii="仿宋_GB2312" w:eastAsia="仿宋_GB2312" w:cs="Times New Roman"/>
          <w:kern w:val="2"/>
          <w:sz w:val="32"/>
          <w:szCs w:val="32"/>
          <w:lang w:val="en-US" w:eastAsia="zh-CN" w:bidi="ar-SA"/>
        </w:rPr>
        <w:t>微信公众号等</w:t>
      </w:r>
      <w:r>
        <w:rPr>
          <w:rFonts w:hint="eastAsia" w:ascii="仿宋_GB2312" w:hAnsi="Times New Roman" w:eastAsia="仿宋_GB2312" w:cs="Times New Roman"/>
          <w:kern w:val="2"/>
          <w:sz w:val="32"/>
          <w:szCs w:val="32"/>
          <w:lang w:val="en-US" w:eastAsia="zh-CN" w:bidi="ar-SA"/>
        </w:rPr>
        <w:t>政务新媒体，以群众喜闻乐见的方式公开政务信息</w:t>
      </w:r>
      <w:r>
        <w:rPr>
          <w:rFonts w:hint="eastAsia" w:ascii="仿宋_GB2312" w:eastAsia="仿宋_GB2312" w:cs="Times New Roman"/>
          <w:kern w:val="2"/>
          <w:sz w:val="32"/>
          <w:szCs w:val="32"/>
          <w:lang w:val="en-US" w:eastAsia="zh-CN" w:bidi="ar-SA"/>
        </w:rPr>
        <w:t>，进一步保障了人民群众的知情权、参与权、表达权、监督权</w:t>
      </w:r>
      <w:r>
        <w:rPr>
          <w:rFonts w:hint="eastAsia" w:ascii="仿宋_GB2312" w:hAnsi="Times New Roman" w:eastAsia="仿宋_GB2312" w:cs="Times New Roman"/>
          <w:kern w:val="2"/>
          <w:sz w:val="32"/>
          <w:szCs w:val="32"/>
          <w:lang w:val="en-US" w:eastAsia="zh-CN" w:bidi="ar-SA"/>
        </w:rPr>
        <w:t>。</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（五）政务信息公开平台建设情况</w:t>
      </w:r>
    </w:p>
    <w:p>
      <w:pPr>
        <w:pStyle w:val="7"/>
        <w:keepNext w:val="0"/>
        <w:keepLines w:val="0"/>
        <w:pageBreakBefore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eastAsia="仿宋_GB2312" w:cs="Times New Roman"/>
          <w:kern w:val="2"/>
          <w:sz w:val="32"/>
          <w:szCs w:val="32"/>
          <w:highlight w:val="none"/>
          <w:lang w:val="en-US" w:eastAsia="zh-CN" w:bidi="ar-SA"/>
        </w:rPr>
        <w:t>区政府网站</w:t>
      </w:r>
      <w:r>
        <w:rPr>
          <w:rFonts w:hint="eastAsia" w:ascii="仿宋_GB2312" w:hAnsi="Times New Roman" w:eastAsia="仿宋_GB2312"/>
          <w:sz w:val="32"/>
          <w:szCs w:val="32"/>
          <w:highlight w:val="none"/>
          <w:lang w:eastAsia="zh-CN"/>
        </w:rPr>
        <w:t>开设“教育领域”板块，</w:t>
      </w:r>
      <w:r>
        <w:rPr>
          <w:rFonts w:hint="eastAsia" w:ascii="仿宋_GB2312" w:eastAsia="仿宋_GB2312"/>
          <w:sz w:val="32"/>
          <w:szCs w:val="32"/>
          <w:lang w:eastAsia="zh-CN"/>
        </w:rPr>
        <w:t>涉及“教育政策”、“民办学校及培训机构”、“公办学校”、“教育信息”等内容，</w:t>
      </w:r>
      <w:r>
        <w:rPr>
          <w:rFonts w:ascii="仿宋_GB2312" w:hAnsi="宋体" w:eastAsia="仿宋_GB2312" w:cs="宋体"/>
          <w:color w:val="000000"/>
          <w:kern w:val="0"/>
          <w:sz w:val="32"/>
          <w:szCs w:val="32"/>
        </w:rPr>
        <w:t>提高</w:t>
      </w:r>
      <w:r>
        <w:rPr>
          <w:rFonts w:hint="eastAsia" w:ascii="仿宋_GB2312" w:hAnsi="宋体" w:eastAsia="仿宋_GB2312" w:cs="宋体"/>
          <w:color w:val="000000"/>
          <w:kern w:val="0"/>
          <w:sz w:val="32"/>
          <w:szCs w:val="32"/>
        </w:rPr>
        <w:t>教育</w:t>
      </w:r>
      <w:r>
        <w:rPr>
          <w:rFonts w:ascii="仿宋_GB2312" w:hAnsi="宋体" w:eastAsia="仿宋_GB2312" w:cs="宋体"/>
          <w:color w:val="000000"/>
          <w:kern w:val="0"/>
          <w:sz w:val="32"/>
          <w:szCs w:val="32"/>
        </w:rPr>
        <w:t>工作</w:t>
      </w:r>
      <w:r>
        <w:rPr>
          <w:rFonts w:hint="eastAsia" w:ascii="仿宋_GB2312" w:hAnsi="宋体" w:eastAsia="仿宋_GB2312" w:cs="宋体"/>
          <w:color w:val="000000"/>
          <w:kern w:val="0"/>
          <w:sz w:val="32"/>
          <w:szCs w:val="32"/>
        </w:rPr>
        <w:t>的</w:t>
      </w:r>
      <w:r>
        <w:rPr>
          <w:rFonts w:ascii="仿宋_GB2312" w:hAnsi="宋体" w:eastAsia="仿宋_GB2312" w:cs="宋体"/>
          <w:color w:val="000000"/>
          <w:kern w:val="0"/>
          <w:sz w:val="32"/>
          <w:szCs w:val="32"/>
        </w:rPr>
        <w:t>透明度</w:t>
      </w:r>
      <w:r>
        <w:rPr>
          <w:rFonts w:hint="eastAsia" w:ascii="仿宋_GB2312" w:hAnsi="宋体" w:eastAsia="仿宋_GB2312" w:cs="宋体"/>
          <w:color w:val="000000"/>
          <w:kern w:val="0"/>
          <w:sz w:val="32"/>
          <w:szCs w:val="32"/>
          <w:lang w:eastAsia="zh-CN"/>
        </w:rPr>
        <w:t>。</w:t>
      </w:r>
      <w:r>
        <w:rPr>
          <w:rFonts w:hint="eastAsia" w:ascii="仿宋_GB2312" w:hAnsi="Times New Roman" w:eastAsia="仿宋_GB2312" w:cs="Times New Roman"/>
          <w:sz w:val="32"/>
          <w:szCs w:val="32"/>
          <w:lang w:eastAsia="zh-CN"/>
        </w:rPr>
        <w:t>同时，</w:t>
      </w:r>
      <w:r>
        <w:rPr>
          <w:rFonts w:hint="eastAsia" w:ascii="仿宋_GB2312" w:hAnsi="Times New Roman" w:eastAsia="仿宋_GB2312" w:cs="Times New Roman"/>
          <w:sz w:val="32"/>
          <w:szCs w:val="32"/>
        </w:rPr>
        <w:t>充分发挥“兴教时讯”</w:t>
      </w:r>
      <w:r>
        <w:rPr>
          <w:rFonts w:hint="eastAsia" w:ascii="仿宋_GB2312" w:hAnsi="Times New Roman" w:eastAsia="仿宋_GB2312" w:cs="Times New Roman"/>
          <w:sz w:val="32"/>
          <w:szCs w:val="32"/>
          <w:lang w:eastAsia="zh-CN"/>
        </w:rPr>
        <w:t>微信公众号</w:t>
      </w:r>
      <w:r>
        <w:rPr>
          <w:rFonts w:hint="eastAsia" w:ascii="仿宋_GB2312" w:hAnsi="Times New Roman" w:eastAsia="仿宋_GB2312" w:cs="Times New Roman"/>
          <w:sz w:val="32"/>
          <w:szCs w:val="32"/>
        </w:rPr>
        <w:t>灵活、便捷、传播力强、影响面广的特点，</w:t>
      </w:r>
      <w:r>
        <w:rPr>
          <w:rFonts w:hint="eastAsia" w:ascii="仿宋_GB2312" w:eastAsia="仿宋_GB2312" w:cs="Times New Roman"/>
          <w:sz w:val="32"/>
          <w:szCs w:val="32"/>
          <w:lang w:eastAsia="zh-CN"/>
        </w:rPr>
        <w:t>开设“政民互动”板块，</w:t>
      </w:r>
      <w:r>
        <w:rPr>
          <w:rFonts w:ascii="仿宋_GB2312" w:hAnsi="宋体" w:eastAsia="仿宋_GB2312" w:cs="宋体"/>
          <w:color w:val="000000"/>
          <w:kern w:val="0"/>
          <w:sz w:val="32"/>
          <w:szCs w:val="32"/>
        </w:rPr>
        <w:t>把</w:t>
      </w:r>
      <w:r>
        <w:rPr>
          <w:rFonts w:hint="eastAsia" w:ascii="仿宋_GB2312" w:hAnsi="宋体" w:eastAsia="仿宋_GB2312" w:cs="宋体"/>
          <w:color w:val="000000"/>
          <w:kern w:val="0"/>
          <w:sz w:val="32"/>
          <w:szCs w:val="32"/>
        </w:rPr>
        <w:t>教育</w:t>
      </w:r>
      <w:r>
        <w:rPr>
          <w:rFonts w:ascii="仿宋_GB2312" w:hAnsi="宋体" w:eastAsia="仿宋_GB2312" w:cs="宋体"/>
          <w:color w:val="000000"/>
          <w:kern w:val="0"/>
          <w:sz w:val="32"/>
          <w:szCs w:val="32"/>
        </w:rPr>
        <w:t>知情权</w:t>
      </w:r>
      <w:r>
        <w:rPr>
          <w:rFonts w:hint="eastAsia" w:ascii="仿宋_GB2312" w:hAnsi="宋体" w:eastAsia="仿宋_GB2312" w:cs="宋体"/>
          <w:color w:val="000000"/>
          <w:kern w:val="0"/>
          <w:sz w:val="32"/>
          <w:szCs w:val="32"/>
        </w:rPr>
        <w:t>赋予</w:t>
      </w:r>
      <w:r>
        <w:rPr>
          <w:rFonts w:ascii="仿宋_GB2312" w:hAnsi="宋体" w:eastAsia="仿宋_GB2312" w:cs="宋体"/>
          <w:color w:val="000000"/>
          <w:kern w:val="0"/>
          <w:sz w:val="32"/>
          <w:szCs w:val="32"/>
        </w:rPr>
        <w:t>公众</w:t>
      </w:r>
      <w:r>
        <w:rPr>
          <w:rFonts w:hint="eastAsia" w:ascii="仿宋_GB2312" w:hAnsi="Times New Roman" w:eastAsia="仿宋_GB2312" w:cs="Times New Roman"/>
          <w:sz w:val="32"/>
          <w:szCs w:val="32"/>
        </w:rPr>
        <w:t>。</w:t>
      </w:r>
      <w:r>
        <w:rPr>
          <w:rFonts w:hint="eastAsia" w:ascii="仿宋_GB2312" w:hAnsi="Times New Roman" w:eastAsia="仿宋_GB2312" w:cs="Times New Roman"/>
          <w:kern w:val="2"/>
          <w:sz w:val="32"/>
          <w:szCs w:val="32"/>
          <w:lang w:val="en-US" w:eastAsia="zh-CN" w:bidi="ar-SA"/>
        </w:rPr>
        <w:t>截至</w:t>
      </w:r>
      <w:r>
        <w:rPr>
          <w:rFonts w:hint="eastAsia" w:ascii="仿宋_GB2312" w:eastAsia="仿宋_GB2312" w:cs="Times New Roman"/>
          <w:kern w:val="2"/>
          <w:sz w:val="32"/>
          <w:szCs w:val="32"/>
          <w:lang w:val="en-US" w:eastAsia="zh-CN" w:bidi="ar-SA"/>
        </w:rPr>
        <w:t>2024</w:t>
      </w:r>
      <w:r>
        <w:rPr>
          <w:rFonts w:hint="eastAsia" w:ascii="仿宋_GB2312" w:hAnsi="Times New Roman" w:eastAsia="仿宋_GB2312" w:cs="Times New Roman"/>
          <w:kern w:val="2"/>
          <w:sz w:val="32"/>
          <w:szCs w:val="32"/>
          <w:lang w:val="en-US" w:eastAsia="zh-CN" w:bidi="ar-SA"/>
        </w:rPr>
        <w:t>年12月底，“兴教时讯”</w:t>
      </w:r>
      <w:r>
        <w:rPr>
          <w:rFonts w:hint="eastAsia" w:ascii="仿宋_GB2312" w:eastAsia="仿宋_GB2312" w:cs="Times New Roman"/>
          <w:kern w:val="2"/>
          <w:sz w:val="32"/>
          <w:szCs w:val="32"/>
          <w:lang w:val="en-US" w:eastAsia="zh-CN" w:bidi="ar-SA"/>
        </w:rPr>
        <w:t>微信公众号累计关注</w:t>
      </w:r>
      <w:r>
        <w:rPr>
          <w:rFonts w:hint="eastAsia" w:ascii="仿宋_GB2312" w:hAnsi="Times New Roman" w:eastAsia="仿宋_GB2312" w:cs="Times New Roman"/>
          <w:kern w:val="2"/>
          <w:sz w:val="32"/>
          <w:szCs w:val="32"/>
          <w:lang w:val="en-US" w:eastAsia="zh-CN" w:bidi="ar-SA"/>
        </w:rPr>
        <w:t>人数</w:t>
      </w:r>
      <w:r>
        <w:rPr>
          <w:rFonts w:hint="eastAsia" w:ascii="仿宋_GB2312" w:eastAsia="仿宋_GB2312" w:cs="Times New Roman"/>
          <w:color w:val="auto"/>
          <w:kern w:val="2"/>
          <w:sz w:val="32"/>
          <w:szCs w:val="32"/>
          <w:lang w:val="en-US" w:eastAsia="zh-CN" w:bidi="ar-SA"/>
        </w:rPr>
        <w:t>已达13.5</w:t>
      </w:r>
      <w:r>
        <w:rPr>
          <w:rFonts w:hint="eastAsia" w:ascii="仿宋_GB2312" w:hAnsi="Times New Roman" w:eastAsia="仿宋_GB2312" w:cs="Times New Roman"/>
          <w:color w:val="auto"/>
          <w:kern w:val="2"/>
          <w:sz w:val="32"/>
          <w:szCs w:val="32"/>
          <w:lang w:val="en-US" w:eastAsia="zh-CN" w:bidi="ar-SA"/>
        </w:rPr>
        <w:t>万，</w:t>
      </w:r>
      <w:r>
        <w:rPr>
          <w:rFonts w:hint="eastAsia" w:ascii="仿宋_GB2312" w:eastAsia="仿宋_GB2312" w:cs="Times New Roman"/>
          <w:color w:val="auto"/>
          <w:kern w:val="2"/>
          <w:sz w:val="32"/>
          <w:szCs w:val="32"/>
          <w:lang w:val="en-US" w:eastAsia="zh-CN" w:bidi="ar-SA"/>
        </w:rPr>
        <w:t>新闻总阅读量超120万</w:t>
      </w:r>
      <w:r>
        <w:rPr>
          <w:rFonts w:hint="eastAsia" w:ascii="仿宋_GB2312" w:hAnsi="Times New Roman" w:eastAsia="仿宋_GB2312" w:cs="Times New Roman"/>
          <w:color w:val="auto"/>
          <w:kern w:val="2"/>
          <w:sz w:val="32"/>
          <w:szCs w:val="32"/>
          <w:lang w:val="en-US" w:eastAsia="zh-CN" w:bidi="ar-SA"/>
        </w:rPr>
        <w:t>。</w:t>
      </w:r>
    </w:p>
    <w:p>
      <w:pPr>
        <w:pStyle w:val="7"/>
        <w:keepNext w:val="0"/>
        <w:keepLines w:val="0"/>
        <w:pageBreakBefore w:val="0"/>
        <w:numPr>
          <w:ilvl w:val="0"/>
          <w:numId w:val="0"/>
        </w:numPr>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（六）教育培训情况</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仿宋_GB2312" w:hAnsi="Times New Roman" w:eastAsia="仿宋_GB2312" w:cs="Times New Roman"/>
          <w:sz w:val="32"/>
          <w:szCs w:val="32"/>
          <w:lang w:val="zh-CN" w:eastAsia="zh-CN" w:bidi="ar-SA"/>
        </w:rPr>
      </w:pPr>
      <w:r>
        <w:rPr>
          <w:rFonts w:hint="eastAsia" w:ascii="仿宋_GB2312" w:eastAsia="仿宋_GB2312"/>
          <w:sz w:val="32"/>
          <w:szCs w:val="32"/>
          <w:lang w:eastAsia="zh-CN"/>
        </w:rPr>
        <w:t>将《</w:t>
      </w:r>
      <w:r>
        <w:rPr>
          <w:rFonts w:hint="eastAsia" w:ascii="仿宋_GB2312" w:eastAsia="仿宋_GB2312"/>
          <w:sz w:val="32"/>
          <w:szCs w:val="32"/>
        </w:rPr>
        <w:t>关于政策性文件预公开管理的若干提示</w:t>
      </w:r>
      <w:r>
        <w:rPr>
          <w:rFonts w:hint="eastAsia" w:ascii="仿宋_GB2312" w:eastAsia="仿宋_GB2312"/>
          <w:sz w:val="32"/>
          <w:szCs w:val="32"/>
          <w:lang w:eastAsia="zh-CN"/>
        </w:rPr>
        <w:t>》、</w:t>
      </w:r>
      <w:r>
        <w:rPr>
          <w:rFonts w:hint="eastAsia" w:ascii="仿宋_GB2312" w:hAnsi="仿宋_GB2312" w:eastAsia="仿宋_GB2312" w:cs="仿宋_GB2312"/>
          <w:b w:val="0"/>
          <w:i w:val="0"/>
          <w:color w:val="000000"/>
          <w:sz w:val="32"/>
          <w:szCs w:val="32"/>
          <w:lang w:eastAsia="zh-CN"/>
        </w:rPr>
        <w:t>《北京市大兴区政府信息依申请公开的工作手册》等相关文件传达给各科室政务公开工作人员</w:t>
      </w:r>
      <w:r>
        <w:rPr>
          <w:rFonts w:hint="eastAsia" w:ascii="仿宋_GB2312" w:hAnsi="仿宋_GB2312" w:eastAsia="仿宋_GB2312" w:cs="仿宋_GB2312"/>
          <w:b w:val="0"/>
          <w:i w:val="0"/>
          <w:color w:val="000000"/>
          <w:sz w:val="32"/>
          <w:szCs w:val="32"/>
          <w:lang w:val="zh-CN" w:eastAsia="zh-CN"/>
        </w:rPr>
        <w:t>，提高做好政务公开工作的能力和水平，坚持依法公开、规范公开，推动教委政务公开工作提质增效。</w:t>
      </w:r>
    </w:p>
    <w:p>
      <w:pPr>
        <w:pStyle w:val="7"/>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zh-CN" w:eastAsia="zh-CN" w:bidi="ar-SA"/>
        </w:rPr>
        <w:t>（七）监督保障情况</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2"/>
          <w:sz w:val="32"/>
          <w:szCs w:val="32"/>
          <w:highlight w:val="none"/>
          <w:lang w:val="zh-CN" w:eastAsia="zh-CN" w:bidi="ar-SA"/>
        </w:rPr>
      </w:pPr>
      <w:r>
        <w:rPr>
          <w:rFonts w:hint="eastAsia" w:ascii="仿宋_GB2312" w:hAnsi="仿宋_GB2312" w:eastAsia="仿宋_GB2312" w:cs="仿宋_GB2312"/>
          <w:color w:val="000000"/>
          <w:kern w:val="2"/>
          <w:sz w:val="32"/>
          <w:szCs w:val="32"/>
          <w:lang w:val="zh-CN" w:eastAsia="zh-CN" w:bidi="ar-SA"/>
        </w:rPr>
        <w:t>加强政务公开工作的宣传与学习，</w:t>
      </w:r>
      <w:r>
        <w:rPr>
          <w:rFonts w:hint="eastAsia" w:ascii="仿宋_GB2312" w:hAnsi="仿宋_GB2312" w:eastAsia="仿宋_GB2312" w:cs="仿宋_GB2312"/>
          <w:color w:val="000000"/>
          <w:kern w:val="2"/>
          <w:sz w:val="32"/>
          <w:szCs w:val="32"/>
          <w:highlight w:val="none"/>
          <w:lang w:val="zh-CN" w:eastAsia="zh-CN" w:bidi="ar-SA"/>
        </w:rPr>
        <w:t>建立和完善公务公开工作的体制机制，包括信息公开的审核、发布、反馈等流程，加强对公众号的建设和管理，确保公开内容的准确性和时效性。</w:t>
      </w:r>
    </w:p>
    <w:p>
      <w:pPr>
        <w:numPr>
          <w:ilvl w:val="0"/>
          <w:numId w:val="1"/>
        </w:numPr>
        <w:spacing w:line="560" w:lineRule="exact"/>
        <w:ind w:left="630" w:leftChars="0"/>
        <w:rPr>
          <w:rFonts w:hint="eastAsia" w:ascii="黑体" w:hAnsi="宋体" w:eastAsia="黑体" w:cs="黑体"/>
          <w:sz w:val="32"/>
          <w:szCs w:val="32"/>
          <w:lang w:bidi="ar"/>
        </w:rPr>
      </w:pPr>
      <w:r>
        <w:rPr>
          <w:rFonts w:hint="eastAsia" w:ascii="黑体" w:hAnsi="宋体" w:eastAsia="黑体" w:cs="黑体"/>
          <w:sz w:val="32"/>
          <w:szCs w:val="32"/>
          <w:lang w:bidi="ar"/>
        </w:rPr>
        <w:t>主动公开政府信息情况</w:t>
      </w:r>
    </w:p>
    <w:p>
      <w:pPr>
        <w:pStyle w:val="2"/>
        <w:numPr>
          <w:ilvl w:val="0"/>
          <w:numId w:val="0"/>
        </w:numPr>
      </w:pPr>
    </w:p>
    <w:p>
      <w:pPr>
        <w:pStyle w:val="2"/>
        <w:numPr>
          <w:ilvl w:val="0"/>
          <w:numId w:val="0"/>
        </w:numPr>
      </w:pPr>
    </w:p>
    <w:tbl>
      <w:tblPr>
        <w:tblStyle w:val="9"/>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52"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val="en-US" w:eastAsia="zh-CN" w:bidi="ar"/>
              </w:rPr>
              <w:t>7</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1</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cs="Calibri"/>
                <w:kern w:val="0"/>
                <w:szCs w:val="21"/>
                <w:lang w:val="en-US" w:eastAsia="zh-CN" w:bidi="ar"/>
              </w:rPr>
              <w:t>10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pStyle w:val="2"/>
        <w:widowControl/>
      </w:pPr>
    </w:p>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eastAsia="zh-CN" w:bidi="ar"/>
        </w:rPr>
        <w:t>三、</w:t>
      </w:r>
      <w:r>
        <w:rPr>
          <w:rFonts w:hint="eastAsia" w:ascii="黑体" w:hAnsi="宋体" w:eastAsia="黑体" w:cs="黑体"/>
          <w:sz w:val="32"/>
          <w:szCs w:val="32"/>
          <w:lang w:bidi="ar"/>
        </w:rPr>
        <w:t>收到和处理政府信息公开申请情况</w:t>
      </w:r>
    </w:p>
    <w:p>
      <w:pPr>
        <w:pStyle w:val="2"/>
        <w:rPr>
          <w:rFonts w:hint="eastAsia" w:ascii="黑体" w:hAnsi="宋体" w:eastAsia="黑体" w:cs="黑体"/>
          <w:sz w:val="24"/>
        </w:rPr>
      </w:pPr>
    </w:p>
    <w:tbl>
      <w:tblPr>
        <w:tblStyle w:val="9"/>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hint="eastAsia" w:cs="Calibri"/>
                <w:kern w:val="0"/>
                <w:sz w:val="20"/>
                <w:szCs w:val="2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10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lang w:val="en-US"/>
              </w:rPr>
            </w:pPr>
            <w:r>
              <w:rPr>
                <w:rFonts w:hint="eastAsia" w:cs="Calibri"/>
                <w:kern w:val="0"/>
                <w:sz w:val="20"/>
                <w:szCs w:val="20"/>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9"/>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r>
    </w:tbl>
    <w:p>
      <w:pPr>
        <w:widowControl/>
        <w:jc w:val="left"/>
      </w:pPr>
    </w:p>
    <w:p>
      <w:pPr>
        <w:keepNext w:val="0"/>
        <w:keepLines w:val="0"/>
        <w:pageBreakBefore w:val="0"/>
        <w:widowControl/>
        <w:kinsoku/>
        <w:wordWrap/>
        <w:overflowPunct/>
        <w:topLinePunct w:val="0"/>
        <w:autoSpaceDE/>
        <w:autoSpaceDN/>
        <w:bidi w:val="0"/>
        <w:spacing w:line="560" w:lineRule="exact"/>
        <w:ind w:right="0" w:rightChars="0" w:firstLine="672" w:firstLineChars="20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eastAsia="zh-CN"/>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spacing w:line="560" w:lineRule="exact"/>
        <w:ind w:right="0" w:rightChars="0" w:firstLine="672"/>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2024年通过线上、线下等渠道共收到依申请公开11件，跟往年相比大幅增长，申请公开内容广、专业化程度不断提高。大部分申请人申请政府信息公开的目的是维护自身合法权益，但也存在个别人试图通过政府信息公开途径收集纠纷维权证据，甚至有的试图通过依申请公开的方式解决长期信访未解决的不合理要求等。</w:t>
      </w:r>
    </w:p>
    <w:p>
      <w:pPr>
        <w:keepNext w:val="0"/>
        <w:keepLines w:val="0"/>
        <w:pageBreakBefore w:val="0"/>
        <w:widowControl/>
        <w:kinsoku/>
        <w:wordWrap/>
        <w:overflowPunct/>
        <w:topLinePunct w:val="0"/>
        <w:autoSpaceDE/>
        <w:autoSpaceDN/>
        <w:bidi w:val="0"/>
        <w:spacing w:line="560" w:lineRule="exact"/>
        <w:ind w:right="0" w:rightChars="0" w:firstLine="672"/>
        <w:jc w:val="left"/>
        <w:textAlignment w:val="auto"/>
        <w:outlineLvl w:val="9"/>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一方面，区教委进一步加强政务公开相关法律法规的学习，通过参加区政务</w:t>
      </w:r>
      <w:r>
        <w:rPr>
          <w:rFonts w:hint="eastAsia" w:ascii="仿宋_GB2312" w:hAnsi="宋体" w:eastAsia="仿宋_GB2312" w:cs="宋体"/>
          <w:spacing w:val="8"/>
          <w:kern w:val="0"/>
          <w:sz w:val="32"/>
          <w:szCs w:val="32"/>
          <w:lang w:val="en-US" w:eastAsia="zh-CN"/>
        </w:rPr>
        <w:t>和</w:t>
      </w:r>
      <w:r>
        <w:rPr>
          <w:rFonts w:hint="eastAsia" w:ascii="仿宋_GB2312" w:hAnsi="宋体" w:eastAsia="仿宋_GB2312" w:cs="宋体"/>
          <w:spacing w:val="8"/>
          <w:kern w:val="0"/>
          <w:sz w:val="32"/>
          <w:szCs w:val="32"/>
          <w:lang w:eastAsia="zh-CN"/>
        </w:rPr>
        <w:t>数据局举办的相关培训、不定期开展研讨交流、咨询律师意见等方式，使答复的格式、不予公开依据等更加规范，多途径增强处理解决问题的能力。另一方面，政府信息主动公开和依申请公开是相辅相成的，主动公开涉及公众利益调整、需要公众广泛知晓或者需要公众参与决策的政府信息，及时更新政府信息，保障广大公众的知情权和监督权。</w:t>
      </w:r>
    </w:p>
    <w:p>
      <w:pPr>
        <w:keepNext w:val="0"/>
        <w:keepLines w:val="0"/>
        <w:pageBreakBefore w:val="0"/>
        <w:widowControl/>
        <w:kinsoku/>
        <w:wordWrap/>
        <w:overflowPunct/>
        <w:topLinePunct w:val="0"/>
        <w:autoSpaceDE/>
        <w:autoSpaceDN/>
        <w:bidi w:val="0"/>
        <w:spacing w:line="560" w:lineRule="exact"/>
        <w:ind w:right="0" w:rightChars="0" w:firstLine="675"/>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8"/>
          <w:kern w:val="0"/>
          <w:sz w:val="32"/>
          <w:szCs w:val="32"/>
        </w:rPr>
        <w:t>我单位本年度发出收费通知的件数和总金额以及实际收取的总金额均为0。</w:t>
      </w:r>
    </w:p>
    <w:p>
      <w:pPr>
        <w:keepNext w:val="0"/>
        <w:keepLines w:val="0"/>
        <w:pageBreakBefore w:val="0"/>
        <w:widowControl/>
        <w:kinsoku/>
        <w:wordWrap/>
        <w:overflowPunct/>
        <w:topLinePunct w:val="0"/>
        <w:autoSpaceDE/>
        <w:autoSpaceDN/>
        <w:bidi w:val="0"/>
        <w:spacing w:line="560" w:lineRule="exact"/>
        <w:ind w:right="0" w:rightChars="0" w:firstLine="672"/>
        <w:jc w:val="both"/>
        <w:textAlignment w:val="auto"/>
        <w:outlineLvl w:val="9"/>
        <w:rPr>
          <w:rFonts w:hint="eastAsia" w:ascii="仿宋_GB2312" w:hAnsi="仿宋" w:eastAsia="仿宋_GB2312" w:cs="仿宋_GB2312"/>
          <w:kern w:val="2"/>
          <w:sz w:val="32"/>
          <w:szCs w:val="32"/>
          <w:lang w:val="en-US" w:eastAsia="zh-CN" w:bidi="ar-SA"/>
        </w:rPr>
      </w:pPr>
    </w:p>
    <w:p>
      <w:pPr>
        <w:pStyle w:val="7"/>
        <w:keepNext w:val="0"/>
        <w:keepLines w:val="0"/>
        <w:pageBreakBefore w:val="0"/>
        <w:kinsoku/>
        <w:wordWrap/>
        <w:overflowPunct/>
        <w:topLinePunct w:val="0"/>
        <w:autoSpaceDE/>
        <w:autoSpaceDN/>
        <w:bidi w:val="0"/>
        <w:spacing w:after="0" w:line="560" w:lineRule="exact"/>
        <w:ind w:left="0" w:leftChars="0" w:right="0" w:rightChars="0" w:firstLine="0" w:firstLineChars="0"/>
        <w:jc w:val="right"/>
        <w:textAlignment w:val="auto"/>
        <w:outlineLvl w:val="9"/>
        <w:rPr>
          <w:rFonts w:hint="eastAsia" w:ascii="仿宋_GB2312" w:hAnsi="仿宋" w:eastAsia="仿宋_GB2312" w:cs="仿宋_GB2312"/>
          <w:kern w:val="2"/>
          <w:sz w:val="32"/>
          <w:szCs w:val="32"/>
          <w:lang w:val="en-US" w:eastAsia="zh-CN" w:bidi="ar-SA"/>
        </w:rPr>
      </w:pPr>
    </w:p>
    <w:p>
      <w:pPr>
        <w:pStyle w:val="7"/>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 xml:space="preserve">                               </w:t>
      </w:r>
    </w:p>
    <w:p>
      <w:pPr>
        <w:keepNext w:val="0"/>
        <w:keepLines w:val="0"/>
        <w:pageBreakBefore w:val="0"/>
        <w:kinsoku/>
        <w:wordWrap/>
        <w:overflowPunct/>
        <w:topLinePunct w:val="0"/>
        <w:autoSpaceDN/>
        <w:bidi w:val="0"/>
        <w:spacing w:line="560" w:lineRule="exact"/>
        <w:textAlignment w:val="auto"/>
      </w:pPr>
      <w:bookmarkStart w:id="0" w:name="_GoBack"/>
      <w:bookmarkEnd w:id="0"/>
    </w:p>
    <w:sectPr>
      <w:footerReference r:id="rId4" w:type="first"/>
      <w:footerReference r:id="rId3" w:type="default"/>
      <w:pgSz w:w="11906" w:h="16838"/>
      <w:pgMar w:top="2098" w:right="1474" w:bottom="1984" w:left="1587" w:header="851" w:footer="992" w:gutter="0"/>
      <w:pgNumType w:start="1"/>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681E1D"/>
    <w:multiLevelType w:val="singleLevel"/>
    <w:tmpl w:val="E2681E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GZhY2UwMmJmZmJmMTJlYWJjNmI2NjI2MWU3NzAifQ=="/>
  </w:docVars>
  <w:rsids>
    <w:rsidRoot w:val="3C985975"/>
    <w:rsid w:val="00611027"/>
    <w:rsid w:val="00D62591"/>
    <w:rsid w:val="00EC3FF5"/>
    <w:rsid w:val="01187D92"/>
    <w:rsid w:val="01211940"/>
    <w:rsid w:val="01354984"/>
    <w:rsid w:val="0237766A"/>
    <w:rsid w:val="024C0A37"/>
    <w:rsid w:val="02DD292D"/>
    <w:rsid w:val="036E510B"/>
    <w:rsid w:val="038E61F6"/>
    <w:rsid w:val="03E33D42"/>
    <w:rsid w:val="045A011D"/>
    <w:rsid w:val="04A01E0D"/>
    <w:rsid w:val="04C119B5"/>
    <w:rsid w:val="05036054"/>
    <w:rsid w:val="050746E3"/>
    <w:rsid w:val="052C1DF3"/>
    <w:rsid w:val="05813E9D"/>
    <w:rsid w:val="05CF51B7"/>
    <w:rsid w:val="06004AE5"/>
    <w:rsid w:val="06041E99"/>
    <w:rsid w:val="06054CFF"/>
    <w:rsid w:val="0621279C"/>
    <w:rsid w:val="06706B31"/>
    <w:rsid w:val="067D74C8"/>
    <w:rsid w:val="06AC654D"/>
    <w:rsid w:val="071A2B7D"/>
    <w:rsid w:val="07F7120E"/>
    <w:rsid w:val="08311D31"/>
    <w:rsid w:val="088601E2"/>
    <w:rsid w:val="093744FB"/>
    <w:rsid w:val="093E11F1"/>
    <w:rsid w:val="09647646"/>
    <w:rsid w:val="097A7118"/>
    <w:rsid w:val="09B655F3"/>
    <w:rsid w:val="09BE6C24"/>
    <w:rsid w:val="09C87733"/>
    <w:rsid w:val="09DF2C62"/>
    <w:rsid w:val="0A1A28A9"/>
    <w:rsid w:val="0A307992"/>
    <w:rsid w:val="0AB20650"/>
    <w:rsid w:val="0AF81315"/>
    <w:rsid w:val="0B2B5D7E"/>
    <w:rsid w:val="0B3F19A4"/>
    <w:rsid w:val="0B4A3F7E"/>
    <w:rsid w:val="0B5143F2"/>
    <w:rsid w:val="0BA55AC7"/>
    <w:rsid w:val="0BAC2892"/>
    <w:rsid w:val="0C7311D4"/>
    <w:rsid w:val="0C97769E"/>
    <w:rsid w:val="0CAF3CB5"/>
    <w:rsid w:val="0CFF715C"/>
    <w:rsid w:val="0D0346F7"/>
    <w:rsid w:val="0D5C0E6D"/>
    <w:rsid w:val="0DBC2ABA"/>
    <w:rsid w:val="0DEC3993"/>
    <w:rsid w:val="0E1841D7"/>
    <w:rsid w:val="0E2F6028"/>
    <w:rsid w:val="0E48337E"/>
    <w:rsid w:val="0E621E5B"/>
    <w:rsid w:val="0EC65578"/>
    <w:rsid w:val="0F15143B"/>
    <w:rsid w:val="0F244A68"/>
    <w:rsid w:val="0F6424B8"/>
    <w:rsid w:val="0F9D5FF9"/>
    <w:rsid w:val="101A6362"/>
    <w:rsid w:val="102D2A89"/>
    <w:rsid w:val="1049432C"/>
    <w:rsid w:val="10762D29"/>
    <w:rsid w:val="10B9321C"/>
    <w:rsid w:val="10BB4252"/>
    <w:rsid w:val="10BE6A0E"/>
    <w:rsid w:val="11257114"/>
    <w:rsid w:val="11327C87"/>
    <w:rsid w:val="11333F04"/>
    <w:rsid w:val="114E29F4"/>
    <w:rsid w:val="11797F66"/>
    <w:rsid w:val="1189554C"/>
    <w:rsid w:val="12D20DAE"/>
    <w:rsid w:val="12DF707F"/>
    <w:rsid w:val="138C5B2F"/>
    <w:rsid w:val="13BD6215"/>
    <w:rsid w:val="13C45117"/>
    <w:rsid w:val="13C702A2"/>
    <w:rsid w:val="13CB30A6"/>
    <w:rsid w:val="13E311D5"/>
    <w:rsid w:val="13EB0B41"/>
    <w:rsid w:val="14412770"/>
    <w:rsid w:val="14691E09"/>
    <w:rsid w:val="14993D49"/>
    <w:rsid w:val="158B58F5"/>
    <w:rsid w:val="15A071A2"/>
    <w:rsid w:val="15A71B0C"/>
    <w:rsid w:val="15FE23BD"/>
    <w:rsid w:val="16357F10"/>
    <w:rsid w:val="167B132E"/>
    <w:rsid w:val="17555B39"/>
    <w:rsid w:val="175B1CFC"/>
    <w:rsid w:val="176F06C0"/>
    <w:rsid w:val="17760567"/>
    <w:rsid w:val="17820979"/>
    <w:rsid w:val="178C5985"/>
    <w:rsid w:val="178F7B35"/>
    <w:rsid w:val="17A25CE9"/>
    <w:rsid w:val="17A70F71"/>
    <w:rsid w:val="17EE6C95"/>
    <w:rsid w:val="184D4924"/>
    <w:rsid w:val="18727A3B"/>
    <w:rsid w:val="18B04FA2"/>
    <w:rsid w:val="18B81A1C"/>
    <w:rsid w:val="18E91A47"/>
    <w:rsid w:val="19195EE6"/>
    <w:rsid w:val="19760BC5"/>
    <w:rsid w:val="198038CF"/>
    <w:rsid w:val="19CF7165"/>
    <w:rsid w:val="19D40ED7"/>
    <w:rsid w:val="1A8637C1"/>
    <w:rsid w:val="1AC246FF"/>
    <w:rsid w:val="1B2A276D"/>
    <w:rsid w:val="1B40324D"/>
    <w:rsid w:val="1B774291"/>
    <w:rsid w:val="1B8B2FFA"/>
    <w:rsid w:val="1B966D1F"/>
    <w:rsid w:val="1C4D4684"/>
    <w:rsid w:val="1C515DA2"/>
    <w:rsid w:val="1CC725C4"/>
    <w:rsid w:val="1D305842"/>
    <w:rsid w:val="1D6C175A"/>
    <w:rsid w:val="1DA0266E"/>
    <w:rsid w:val="1E2029B7"/>
    <w:rsid w:val="1E2F4E9D"/>
    <w:rsid w:val="1E343C1D"/>
    <w:rsid w:val="1E47557C"/>
    <w:rsid w:val="1E5F09BB"/>
    <w:rsid w:val="1EBA5C1A"/>
    <w:rsid w:val="1EE63549"/>
    <w:rsid w:val="1EFE3742"/>
    <w:rsid w:val="1F415433"/>
    <w:rsid w:val="1FA123E4"/>
    <w:rsid w:val="1FFD3586"/>
    <w:rsid w:val="20570FF3"/>
    <w:rsid w:val="20B406EF"/>
    <w:rsid w:val="20DD36C6"/>
    <w:rsid w:val="216F0EF8"/>
    <w:rsid w:val="21BD69BC"/>
    <w:rsid w:val="21D07AF0"/>
    <w:rsid w:val="21DF3AE6"/>
    <w:rsid w:val="223C2C4C"/>
    <w:rsid w:val="226C535D"/>
    <w:rsid w:val="227C13AB"/>
    <w:rsid w:val="22D17599"/>
    <w:rsid w:val="22ED26FC"/>
    <w:rsid w:val="237E5C9C"/>
    <w:rsid w:val="23A659E9"/>
    <w:rsid w:val="240848C7"/>
    <w:rsid w:val="24A83614"/>
    <w:rsid w:val="25697D89"/>
    <w:rsid w:val="26684017"/>
    <w:rsid w:val="26764841"/>
    <w:rsid w:val="26801D98"/>
    <w:rsid w:val="268A60C1"/>
    <w:rsid w:val="26C5469B"/>
    <w:rsid w:val="26CE4A38"/>
    <w:rsid w:val="26D7435A"/>
    <w:rsid w:val="27182C96"/>
    <w:rsid w:val="27435E6A"/>
    <w:rsid w:val="275D4D64"/>
    <w:rsid w:val="276666A2"/>
    <w:rsid w:val="27B158A1"/>
    <w:rsid w:val="27CB78D7"/>
    <w:rsid w:val="27FA5598"/>
    <w:rsid w:val="281C5A49"/>
    <w:rsid w:val="28601F09"/>
    <w:rsid w:val="298504A2"/>
    <w:rsid w:val="298E2F79"/>
    <w:rsid w:val="29D57E7B"/>
    <w:rsid w:val="2A2932D7"/>
    <w:rsid w:val="2A3B4E7A"/>
    <w:rsid w:val="2A732BCD"/>
    <w:rsid w:val="2B07177E"/>
    <w:rsid w:val="2B1D4AE2"/>
    <w:rsid w:val="2B2C1E6C"/>
    <w:rsid w:val="2B5D0593"/>
    <w:rsid w:val="2B885A1F"/>
    <w:rsid w:val="2B93705B"/>
    <w:rsid w:val="2BEB6C09"/>
    <w:rsid w:val="2C271D0B"/>
    <w:rsid w:val="2C5F574E"/>
    <w:rsid w:val="2C790405"/>
    <w:rsid w:val="2CB9530A"/>
    <w:rsid w:val="2CCF25AF"/>
    <w:rsid w:val="2D3E57C1"/>
    <w:rsid w:val="2D6F1CF2"/>
    <w:rsid w:val="2D7275C0"/>
    <w:rsid w:val="2DC018A0"/>
    <w:rsid w:val="2DEB4F70"/>
    <w:rsid w:val="2DFE2A9B"/>
    <w:rsid w:val="2E0876D6"/>
    <w:rsid w:val="2E6606CC"/>
    <w:rsid w:val="2EC64259"/>
    <w:rsid w:val="2EF76CF9"/>
    <w:rsid w:val="2FC639BE"/>
    <w:rsid w:val="2FF74719"/>
    <w:rsid w:val="30B10E41"/>
    <w:rsid w:val="322170B2"/>
    <w:rsid w:val="32492C46"/>
    <w:rsid w:val="32C862E6"/>
    <w:rsid w:val="32EC17DD"/>
    <w:rsid w:val="334C2910"/>
    <w:rsid w:val="336C4F01"/>
    <w:rsid w:val="338D7962"/>
    <w:rsid w:val="345F491A"/>
    <w:rsid w:val="347D6E62"/>
    <w:rsid w:val="348F61FB"/>
    <w:rsid w:val="34CA1A80"/>
    <w:rsid w:val="350F2D98"/>
    <w:rsid w:val="352C05CE"/>
    <w:rsid w:val="353A04BF"/>
    <w:rsid w:val="356778B0"/>
    <w:rsid w:val="356A1BDE"/>
    <w:rsid w:val="35D35F9D"/>
    <w:rsid w:val="36D12C16"/>
    <w:rsid w:val="36ED05E0"/>
    <w:rsid w:val="37201EFD"/>
    <w:rsid w:val="377E73A4"/>
    <w:rsid w:val="379978DB"/>
    <w:rsid w:val="37BA357C"/>
    <w:rsid w:val="37ED45C5"/>
    <w:rsid w:val="38B66FD6"/>
    <w:rsid w:val="38CB211C"/>
    <w:rsid w:val="38F50C01"/>
    <w:rsid w:val="39423361"/>
    <w:rsid w:val="395C5F9A"/>
    <w:rsid w:val="396D1A4F"/>
    <w:rsid w:val="39870C65"/>
    <w:rsid w:val="39FA2E29"/>
    <w:rsid w:val="3A037AD5"/>
    <w:rsid w:val="3A1B0236"/>
    <w:rsid w:val="3A4060C3"/>
    <w:rsid w:val="3A4B0ECC"/>
    <w:rsid w:val="3B140669"/>
    <w:rsid w:val="3B1B7EEA"/>
    <w:rsid w:val="3B607FA2"/>
    <w:rsid w:val="3BA96170"/>
    <w:rsid w:val="3C6E4EC9"/>
    <w:rsid w:val="3C985975"/>
    <w:rsid w:val="3C997723"/>
    <w:rsid w:val="3CAF4A95"/>
    <w:rsid w:val="3CBC3E41"/>
    <w:rsid w:val="3CEF55FD"/>
    <w:rsid w:val="3D0E65D5"/>
    <w:rsid w:val="3D6C1B74"/>
    <w:rsid w:val="3D871000"/>
    <w:rsid w:val="3D9D1F7B"/>
    <w:rsid w:val="3E5802C5"/>
    <w:rsid w:val="3E613502"/>
    <w:rsid w:val="3E6E2B08"/>
    <w:rsid w:val="3E715F20"/>
    <w:rsid w:val="3E8E5398"/>
    <w:rsid w:val="3EA70ABB"/>
    <w:rsid w:val="3F1A306B"/>
    <w:rsid w:val="3F33019C"/>
    <w:rsid w:val="3F8D0610"/>
    <w:rsid w:val="3F8F6588"/>
    <w:rsid w:val="3FA56B0C"/>
    <w:rsid w:val="3FDC49A2"/>
    <w:rsid w:val="408959D6"/>
    <w:rsid w:val="40A138B4"/>
    <w:rsid w:val="40D8666F"/>
    <w:rsid w:val="40FA4366"/>
    <w:rsid w:val="411E75FE"/>
    <w:rsid w:val="4147229D"/>
    <w:rsid w:val="41B55626"/>
    <w:rsid w:val="41BD0BAC"/>
    <w:rsid w:val="41CD4CEF"/>
    <w:rsid w:val="41E8610B"/>
    <w:rsid w:val="42304B37"/>
    <w:rsid w:val="42985596"/>
    <w:rsid w:val="42BE2854"/>
    <w:rsid w:val="42E6141F"/>
    <w:rsid w:val="432030AA"/>
    <w:rsid w:val="43B8780C"/>
    <w:rsid w:val="440B5F53"/>
    <w:rsid w:val="444A6204"/>
    <w:rsid w:val="444D5CA5"/>
    <w:rsid w:val="446D6B93"/>
    <w:rsid w:val="448F5A52"/>
    <w:rsid w:val="44BA1634"/>
    <w:rsid w:val="44DA5B19"/>
    <w:rsid w:val="453B32A9"/>
    <w:rsid w:val="455310F8"/>
    <w:rsid w:val="45626B29"/>
    <w:rsid w:val="459A3F0A"/>
    <w:rsid w:val="45D42000"/>
    <w:rsid w:val="45EE1E56"/>
    <w:rsid w:val="45FA2055"/>
    <w:rsid w:val="46966C4F"/>
    <w:rsid w:val="46991E0A"/>
    <w:rsid w:val="46D531AC"/>
    <w:rsid w:val="472A2611"/>
    <w:rsid w:val="472E62D4"/>
    <w:rsid w:val="473B6D51"/>
    <w:rsid w:val="486B1896"/>
    <w:rsid w:val="488038DA"/>
    <w:rsid w:val="4895493C"/>
    <w:rsid w:val="48E50C95"/>
    <w:rsid w:val="49180C68"/>
    <w:rsid w:val="49285E8C"/>
    <w:rsid w:val="49AB53B1"/>
    <w:rsid w:val="49EA4DEE"/>
    <w:rsid w:val="4A071161"/>
    <w:rsid w:val="4A1D5043"/>
    <w:rsid w:val="4B054D89"/>
    <w:rsid w:val="4B9646AE"/>
    <w:rsid w:val="4BDF24BC"/>
    <w:rsid w:val="4BF02E90"/>
    <w:rsid w:val="4BFE136F"/>
    <w:rsid w:val="4C6A3FB8"/>
    <w:rsid w:val="4C89044A"/>
    <w:rsid w:val="4CDF6B5C"/>
    <w:rsid w:val="4D092440"/>
    <w:rsid w:val="4D2A3FE3"/>
    <w:rsid w:val="4D3A4F72"/>
    <w:rsid w:val="4D3A54F5"/>
    <w:rsid w:val="4DF8735E"/>
    <w:rsid w:val="4EBE540D"/>
    <w:rsid w:val="4F2651A7"/>
    <w:rsid w:val="4F5A0236"/>
    <w:rsid w:val="4FBC4BAF"/>
    <w:rsid w:val="4FED58F5"/>
    <w:rsid w:val="50567B7D"/>
    <w:rsid w:val="505C1035"/>
    <w:rsid w:val="50A34F26"/>
    <w:rsid w:val="51415FDF"/>
    <w:rsid w:val="5194519C"/>
    <w:rsid w:val="520752EC"/>
    <w:rsid w:val="525B78EC"/>
    <w:rsid w:val="52D157F6"/>
    <w:rsid w:val="538036BE"/>
    <w:rsid w:val="53A82AC1"/>
    <w:rsid w:val="53D6525B"/>
    <w:rsid w:val="547B1693"/>
    <w:rsid w:val="548A7F5B"/>
    <w:rsid w:val="54A817DD"/>
    <w:rsid w:val="55B5755D"/>
    <w:rsid w:val="55F101F9"/>
    <w:rsid w:val="55FC3A53"/>
    <w:rsid w:val="5623681D"/>
    <w:rsid w:val="566E1F9A"/>
    <w:rsid w:val="568A13BD"/>
    <w:rsid w:val="57C74581"/>
    <w:rsid w:val="57FD0931"/>
    <w:rsid w:val="5831655C"/>
    <w:rsid w:val="58535164"/>
    <w:rsid w:val="586672FE"/>
    <w:rsid w:val="58EF071E"/>
    <w:rsid w:val="58F35E1F"/>
    <w:rsid w:val="594A6A35"/>
    <w:rsid w:val="59673B05"/>
    <w:rsid w:val="59FE0FD4"/>
    <w:rsid w:val="5A1A521F"/>
    <w:rsid w:val="5A1F0E7E"/>
    <w:rsid w:val="5A8C384F"/>
    <w:rsid w:val="5AB318FC"/>
    <w:rsid w:val="5B051870"/>
    <w:rsid w:val="5B493BA7"/>
    <w:rsid w:val="5B6F6F05"/>
    <w:rsid w:val="5B8267D1"/>
    <w:rsid w:val="5BCC192B"/>
    <w:rsid w:val="5CE36887"/>
    <w:rsid w:val="5D3D0AC7"/>
    <w:rsid w:val="5D8F2589"/>
    <w:rsid w:val="5E35316B"/>
    <w:rsid w:val="5E543A44"/>
    <w:rsid w:val="5E793911"/>
    <w:rsid w:val="5E8050D4"/>
    <w:rsid w:val="5EA87C51"/>
    <w:rsid w:val="5F0C294E"/>
    <w:rsid w:val="5F162237"/>
    <w:rsid w:val="5FBC0C6D"/>
    <w:rsid w:val="60144FB1"/>
    <w:rsid w:val="6061437E"/>
    <w:rsid w:val="606856BD"/>
    <w:rsid w:val="61153C10"/>
    <w:rsid w:val="61BE6D26"/>
    <w:rsid w:val="61E72D1F"/>
    <w:rsid w:val="624C1CE8"/>
    <w:rsid w:val="62A52217"/>
    <w:rsid w:val="62BF255D"/>
    <w:rsid w:val="62E53564"/>
    <w:rsid w:val="62E9256D"/>
    <w:rsid w:val="63112F34"/>
    <w:rsid w:val="63FA3DD7"/>
    <w:rsid w:val="641A5D4F"/>
    <w:rsid w:val="643177CA"/>
    <w:rsid w:val="643F5D36"/>
    <w:rsid w:val="64643818"/>
    <w:rsid w:val="651D0AAF"/>
    <w:rsid w:val="6592514D"/>
    <w:rsid w:val="66772DD4"/>
    <w:rsid w:val="667922B1"/>
    <w:rsid w:val="66B575DE"/>
    <w:rsid w:val="66F8454D"/>
    <w:rsid w:val="671C3469"/>
    <w:rsid w:val="6777512F"/>
    <w:rsid w:val="67A91877"/>
    <w:rsid w:val="67C71DD2"/>
    <w:rsid w:val="67EC2FB1"/>
    <w:rsid w:val="68406D70"/>
    <w:rsid w:val="688468B0"/>
    <w:rsid w:val="68CA70F6"/>
    <w:rsid w:val="68DD5930"/>
    <w:rsid w:val="69260C44"/>
    <w:rsid w:val="698F09B1"/>
    <w:rsid w:val="6A3B0E7F"/>
    <w:rsid w:val="6AB52DB2"/>
    <w:rsid w:val="6AB82770"/>
    <w:rsid w:val="6B0C7FBE"/>
    <w:rsid w:val="6B3116A4"/>
    <w:rsid w:val="6B617EEF"/>
    <w:rsid w:val="6B6D0F61"/>
    <w:rsid w:val="6BA45202"/>
    <w:rsid w:val="6BAA3EFB"/>
    <w:rsid w:val="6BCA46CB"/>
    <w:rsid w:val="6C3B7076"/>
    <w:rsid w:val="6D2C4019"/>
    <w:rsid w:val="6D68211B"/>
    <w:rsid w:val="6D82732A"/>
    <w:rsid w:val="6DA95421"/>
    <w:rsid w:val="6E8E5729"/>
    <w:rsid w:val="6ECD0E68"/>
    <w:rsid w:val="6EF01F71"/>
    <w:rsid w:val="6F0D0709"/>
    <w:rsid w:val="6F457E61"/>
    <w:rsid w:val="6F9C7AE5"/>
    <w:rsid w:val="70530139"/>
    <w:rsid w:val="70C71C5B"/>
    <w:rsid w:val="712550BA"/>
    <w:rsid w:val="71913513"/>
    <w:rsid w:val="719764BC"/>
    <w:rsid w:val="719E3B44"/>
    <w:rsid w:val="72342468"/>
    <w:rsid w:val="72CC33DF"/>
    <w:rsid w:val="72F05E13"/>
    <w:rsid w:val="7319028D"/>
    <w:rsid w:val="733C4903"/>
    <w:rsid w:val="73920C2E"/>
    <w:rsid w:val="73A5006B"/>
    <w:rsid w:val="73EF2F51"/>
    <w:rsid w:val="746A05C2"/>
    <w:rsid w:val="748A5363"/>
    <w:rsid w:val="749136AF"/>
    <w:rsid w:val="749E17F1"/>
    <w:rsid w:val="74AC3C84"/>
    <w:rsid w:val="74B07A05"/>
    <w:rsid w:val="74E30133"/>
    <w:rsid w:val="74F27B9F"/>
    <w:rsid w:val="75C114CA"/>
    <w:rsid w:val="762357BF"/>
    <w:rsid w:val="76FA2154"/>
    <w:rsid w:val="77184191"/>
    <w:rsid w:val="77972BA8"/>
    <w:rsid w:val="77B841C6"/>
    <w:rsid w:val="77C02B8A"/>
    <w:rsid w:val="77D4080D"/>
    <w:rsid w:val="78092ADC"/>
    <w:rsid w:val="781E3E53"/>
    <w:rsid w:val="78392222"/>
    <w:rsid w:val="78655AB4"/>
    <w:rsid w:val="78834117"/>
    <w:rsid w:val="78A4699B"/>
    <w:rsid w:val="78D63FD5"/>
    <w:rsid w:val="78ED5437"/>
    <w:rsid w:val="793C398F"/>
    <w:rsid w:val="795C7AC9"/>
    <w:rsid w:val="79637680"/>
    <w:rsid w:val="797C638D"/>
    <w:rsid w:val="7A8206CE"/>
    <w:rsid w:val="7A9E6898"/>
    <w:rsid w:val="7ABD4FAC"/>
    <w:rsid w:val="7AEC2C22"/>
    <w:rsid w:val="7B1F0D83"/>
    <w:rsid w:val="7B407784"/>
    <w:rsid w:val="7B6323B6"/>
    <w:rsid w:val="7B6C3BAA"/>
    <w:rsid w:val="7B7A6A43"/>
    <w:rsid w:val="7B9A697F"/>
    <w:rsid w:val="7BC665C6"/>
    <w:rsid w:val="7C1A5542"/>
    <w:rsid w:val="7CAC2E36"/>
    <w:rsid w:val="7CBF16E6"/>
    <w:rsid w:val="7D0C6382"/>
    <w:rsid w:val="7D2C598F"/>
    <w:rsid w:val="7D660ABF"/>
    <w:rsid w:val="7D8B3866"/>
    <w:rsid w:val="7DE82D7D"/>
    <w:rsid w:val="7F0F2E90"/>
    <w:rsid w:val="7F3A6E23"/>
    <w:rsid w:val="7F5A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ind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_GB2312"/>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6">
    <w:name w:val="annotation text"/>
    <w:basedOn w:val="1"/>
    <w:uiPriority w:val="0"/>
    <w:pPr>
      <w:jc w:val="left"/>
    </w:pPr>
  </w:style>
  <w:style w:type="paragraph" w:styleId="7">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8">
    <w:name w:val="footer"/>
    <w:basedOn w:val="1"/>
    <w:qFormat/>
    <w:uiPriority w:val="0"/>
    <w:pPr>
      <w:tabs>
        <w:tab w:val="center" w:pos="4153"/>
        <w:tab w:val="right" w:pos="8306"/>
      </w:tabs>
      <w:snapToGrid w:val="0"/>
      <w:jc w:val="left"/>
    </w:pPr>
    <w:rPr>
      <w:sz w:val="18"/>
    </w:rPr>
  </w:style>
  <w:style w:type="character" w:styleId="11">
    <w:name w:val="Strong"/>
    <w:basedOn w:val="10"/>
    <w:qFormat/>
    <w:uiPriority w:val="0"/>
    <w:rPr>
      <w:b/>
    </w:rPr>
  </w:style>
  <w:style w:type="paragraph" w:customStyle="1" w:styleId="12">
    <w:name w:val="样式4"/>
    <w:basedOn w:val="1"/>
    <w:next w:val="1"/>
    <w:qFormat/>
    <w:uiPriority w:val="0"/>
    <w:pPr>
      <w:keepNext/>
      <w:keepLines/>
      <w:spacing w:before="340" w:beforeLines="0" w:after="330" w:afterLines="0" w:line="576" w:lineRule="auto"/>
      <w:outlineLvl w:val="0"/>
    </w:pPr>
    <w:rPr>
      <w:rFonts w:hint="eastAsia" w:eastAsia="方正小标宋简体" w:asciiTheme="minorAscii" w:hAnsiTheme="minorAscii"/>
      <w:bCs/>
      <w:kern w:val="44"/>
      <w:sz w:val="44"/>
      <w:szCs w:val="22"/>
    </w:rPr>
  </w:style>
  <w:style w:type="character" w:customStyle="1" w:styleId="13">
    <w:name w:val="fontstyle01"/>
    <w:basedOn w:val="10"/>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2023-12-19T00:43:00Z</dcterms:created>
  <dc:creator>pc</dc:creator>
  <cp:lastModifiedBy>shen</cp:lastModifiedBy>
  <cp:lastPrinted>2025-01-15T06:26:00Z</cp:lastPrinted>
  <dcterms:modified xsi:type="dcterms:W3CDTF">2025-01-20T01:10:43Z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A331DD05381D4BF1AC3D2314E9228292_12</vt:lpwstr>
  </property>
</Properties>
</file>