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val="en-US" w:eastAsia="zh-CN"/>
        </w:rPr>
        <w:t>北京市大兴区</w:t>
      </w:r>
      <w:r>
        <w:rPr>
          <w:rFonts w:hint="eastAsia" w:ascii="方正小标宋简体" w:hAnsi="方正小标宋简体" w:eastAsia="方正小标宋简体" w:cs="方正小标宋简体"/>
          <w:sz w:val="44"/>
          <w:szCs w:val="44"/>
          <w:highlight w:val="none"/>
          <w:lang w:eastAsia="zh-CN"/>
        </w:rPr>
        <w:t>高米店街道办事处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2024</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both"/>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both"/>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eastAsia="zh-CN"/>
        </w:rPr>
        <w:t>（一）</w:t>
      </w:r>
      <w:r>
        <w:rPr>
          <w:rFonts w:hint="eastAsia" w:ascii="仿宋_GB2312" w:hAnsi="宋体" w:eastAsia="仿宋_GB2312" w:cs="宋体"/>
          <w:b/>
          <w:bCs/>
          <w:spacing w:val="8"/>
          <w:kern w:val="0"/>
          <w:sz w:val="32"/>
          <w:szCs w:val="32"/>
          <w:lang w:val="en-US" w:eastAsia="zh-CN"/>
        </w:rPr>
        <w:t>组织领导情况</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明确本街道政府信息公开领导为街道工委委员副主任，政府信息公开工作设在综合办公室，有专人专项负责街道政务公开等具体事项。街道将不断完善依申请公开制度、加强微信等公众号规范运营、严格按《条例》落实政府信息公开工作。</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eastAsia="zh-CN"/>
        </w:rPr>
        <w:t>（二）</w:t>
      </w:r>
      <w:r>
        <w:rPr>
          <w:rFonts w:hint="eastAsia" w:ascii="仿宋_GB2312" w:hAnsi="宋体" w:eastAsia="仿宋_GB2312" w:cs="宋体"/>
          <w:b/>
          <w:bCs/>
          <w:spacing w:val="8"/>
          <w:kern w:val="0"/>
          <w:sz w:val="32"/>
          <w:szCs w:val="32"/>
          <w:lang w:val="en-US" w:eastAsia="zh-CN"/>
        </w:rPr>
        <w:t>主动公开情况</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val="en-US" w:eastAsia="zh-CN"/>
        </w:rPr>
        <w:t>2024年主动公开重点领域信息共84条，涵盖执法公示、社会保障、财政预决算等多个领域。坚持政府工作公开透明，以公开为常态、不公开为例外，除涉密文件外做到及时公开。</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eastAsia="zh-CN"/>
        </w:rPr>
        <w:t>（三）</w:t>
      </w:r>
      <w:r>
        <w:rPr>
          <w:rFonts w:hint="eastAsia" w:ascii="仿宋_GB2312" w:hAnsi="宋体" w:eastAsia="仿宋_GB2312" w:cs="宋体"/>
          <w:b/>
          <w:bCs/>
          <w:spacing w:val="8"/>
          <w:kern w:val="0"/>
          <w:sz w:val="32"/>
          <w:szCs w:val="32"/>
          <w:lang w:val="en-US" w:eastAsia="zh-CN"/>
        </w:rPr>
        <w:t>依申请公开办理情况</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val="en-US" w:eastAsia="zh-CN"/>
        </w:rPr>
        <w:t>2024年我街道收到政府信息公开申请5件。邮政寄送、传真邮件申请、当面提交、电话咨询等渠道畅通。登记回执及答复书严格按照《条例》规定，按规按期完成答复。全年出现1起因政府信息公开申请提起行政诉讼情况。</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eastAsia="zh-CN"/>
        </w:rPr>
        <w:t>（四）</w:t>
      </w:r>
      <w:r>
        <w:rPr>
          <w:rFonts w:hint="eastAsia" w:ascii="仿宋_GB2312" w:hAnsi="宋体" w:eastAsia="仿宋_GB2312" w:cs="宋体"/>
          <w:b/>
          <w:bCs/>
          <w:spacing w:val="8"/>
          <w:kern w:val="0"/>
          <w:sz w:val="32"/>
          <w:szCs w:val="32"/>
          <w:lang w:val="en-US" w:eastAsia="zh-CN"/>
        </w:rPr>
        <w:t>政府信息管理情况</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我街道高度重视政府信息管理工作，结合年度工作重点，及时进行动态更新调整。并定期组织召开政务工作培训。保证政务信息工作制度化、规范化、标准化，确保政务信息工作高质量、高标准、高效率，做到全面公开、及时公开。</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eastAsia="zh-CN"/>
        </w:rPr>
        <w:t>（五）</w:t>
      </w:r>
      <w:r>
        <w:rPr>
          <w:rFonts w:hint="eastAsia" w:ascii="仿宋_GB2312" w:hAnsi="宋体" w:eastAsia="仿宋_GB2312" w:cs="宋体"/>
          <w:b/>
          <w:bCs/>
          <w:spacing w:val="8"/>
          <w:kern w:val="0"/>
          <w:sz w:val="32"/>
          <w:szCs w:val="32"/>
          <w:lang w:val="en-US" w:eastAsia="zh-CN"/>
        </w:rPr>
        <w:t>政府信息公开平台建设情况</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通过政务公开栏，政府网站等载体，将民政、综合行政执法、社会治理等相关政务信息及时公开。并完善政务服务大厅的政务公开专区的设立及服务。</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b/>
          <w:bCs/>
          <w:spacing w:val="8"/>
          <w:kern w:val="0"/>
          <w:sz w:val="32"/>
          <w:szCs w:val="32"/>
          <w:lang w:eastAsia="zh-CN"/>
        </w:rPr>
        <w:t>（</w:t>
      </w:r>
      <w:r>
        <w:rPr>
          <w:rFonts w:hint="eastAsia" w:ascii="仿宋_GB2312" w:hAnsi="宋体" w:eastAsia="仿宋_GB2312" w:cs="宋体"/>
          <w:b/>
          <w:bCs/>
          <w:spacing w:val="8"/>
          <w:kern w:val="0"/>
          <w:sz w:val="32"/>
          <w:szCs w:val="32"/>
          <w:lang w:val="en-US" w:eastAsia="zh-CN"/>
        </w:rPr>
        <w:t>六</w:t>
      </w:r>
      <w:r>
        <w:rPr>
          <w:rFonts w:hint="eastAsia" w:ascii="仿宋_GB2312" w:hAnsi="宋体" w:eastAsia="仿宋_GB2312" w:cs="宋体"/>
          <w:b/>
          <w:bCs/>
          <w:spacing w:val="8"/>
          <w:kern w:val="0"/>
          <w:sz w:val="32"/>
          <w:szCs w:val="32"/>
          <w:lang w:eastAsia="zh-CN"/>
        </w:rPr>
        <w:t>）</w:t>
      </w:r>
      <w:r>
        <w:rPr>
          <w:rFonts w:hint="eastAsia" w:ascii="仿宋_GB2312" w:hAnsi="宋体" w:eastAsia="仿宋_GB2312" w:cs="宋体"/>
          <w:b/>
          <w:bCs/>
          <w:spacing w:val="8"/>
          <w:kern w:val="0"/>
          <w:sz w:val="32"/>
          <w:szCs w:val="32"/>
          <w:lang w:val="en-US" w:eastAsia="zh-CN"/>
        </w:rPr>
        <w:t>教育培训情况</w:t>
      </w:r>
      <w:r>
        <w:rPr>
          <w:rFonts w:hint="eastAsia" w:ascii="仿宋_GB2312" w:hAnsi="宋体" w:eastAsia="仿宋_GB2312" w:cs="宋体"/>
          <w:spacing w:val="8"/>
          <w:kern w:val="0"/>
          <w:sz w:val="32"/>
          <w:szCs w:val="32"/>
          <w:lang w:val="en-US" w:eastAsia="zh-CN"/>
        </w:rPr>
        <w:t>。定期参与政务公开业务线上培训活动。2024年高米店街道组织召开2次政府信息公开培训会，保证政务信息工作制度化、规范化、标准化。</w:t>
      </w:r>
    </w:p>
    <w:p>
      <w:pPr>
        <w:keepNext w:val="0"/>
        <w:keepLines w:val="0"/>
        <w:pageBreakBefore w:val="0"/>
        <w:widowControl/>
        <w:kinsoku/>
        <w:wordWrap/>
        <w:overflowPunct/>
        <w:topLinePunct w:val="0"/>
        <w:autoSpaceDE/>
        <w:autoSpaceDN/>
        <w:bidi w:val="0"/>
        <w:adjustRightInd/>
        <w:snapToGrid/>
        <w:spacing w:line="560" w:lineRule="exact"/>
        <w:ind w:firstLine="675"/>
        <w:jc w:val="both"/>
        <w:textAlignment w:val="auto"/>
        <w:rPr>
          <w:rFonts w:hint="eastAsia"/>
          <w:lang w:val="en-US" w:eastAsia="zh-CN"/>
        </w:rPr>
      </w:pPr>
      <w:r>
        <w:rPr>
          <w:rFonts w:hint="eastAsia" w:ascii="仿宋_GB2312" w:hAnsi="宋体" w:eastAsia="仿宋_GB2312" w:cs="宋体"/>
          <w:b/>
          <w:bCs/>
          <w:spacing w:val="8"/>
          <w:kern w:val="0"/>
          <w:sz w:val="32"/>
          <w:szCs w:val="32"/>
          <w:lang w:eastAsia="zh-CN"/>
        </w:rPr>
        <w:t>（</w:t>
      </w:r>
      <w:r>
        <w:rPr>
          <w:rFonts w:hint="eastAsia" w:ascii="仿宋_GB2312" w:hAnsi="宋体" w:eastAsia="仿宋_GB2312" w:cs="宋体"/>
          <w:b/>
          <w:bCs/>
          <w:spacing w:val="8"/>
          <w:kern w:val="0"/>
          <w:sz w:val="32"/>
          <w:szCs w:val="32"/>
          <w:lang w:val="en-US" w:eastAsia="zh-CN"/>
        </w:rPr>
        <w:t>七</w:t>
      </w:r>
      <w:r>
        <w:rPr>
          <w:rFonts w:hint="eastAsia" w:ascii="仿宋_GB2312" w:hAnsi="宋体" w:eastAsia="仿宋_GB2312" w:cs="宋体"/>
          <w:b/>
          <w:bCs/>
          <w:spacing w:val="8"/>
          <w:kern w:val="0"/>
          <w:sz w:val="32"/>
          <w:szCs w:val="32"/>
          <w:lang w:eastAsia="zh-CN"/>
        </w:rPr>
        <w:t>）</w:t>
      </w:r>
      <w:r>
        <w:rPr>
          <w:rFonts w:hint="eastAsia" w:ascii="仿宋_GB2312" w:hAnsi="仿宋_GB2312" w:eastAsia="仿宋_GB2312" w:cs="仿宋_GB2312"/>
          <w:b/>
          <w:bCs/>
          <w:sz w:val="32"/>
          <w:szCs w:val="32"/>
          <w:lang w:val="en-US" w:eastAsia="zh-CN"/>
        </w:rPr>
        <w:t>监督保障情况</w:t>
      </w:r>
      <w:r>
        <w:rPr>
          <w:rFonts w:hint="eastAsia" w:ascii="仿宋_GB2312" w:hAnsi="仿宋_GB2312" w:eastAsia="仿宋_GB2312" w:cs="仿宋_GB2312"/>
          <w:sz w:val="32"/>
          <w:szCs w:val="32"/>
          <w:lang w:val="en-US" w:eastAsia="zh-CN"/>
        </w:rPr>
        <w:t>。完善发布流程，严格按照相关制度发布信息，对外公开信息均严格审核把关。同时，根据人事变动，及时调整人员信息，确保政府信息公开规范、高效开展，以实际行动做到让群众满意。</w:t>
      </w:r>
    </w:p>
    <w:p>
      <w:pPr>
        <w:numPr>
          <w:ilvl w:val="0"/>
          <w:numId w:val="1"/>
        </w:num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3"/>
        <w:jc w:val="both"/>
        <w:rPr>
          <w:rFonts w:hint="eastAsia"/>
        </w:rPr>
      </w:pPr>
    </w:p>
    <w:p>
      <w:pPr>
        <w:pStyle w:val="3"/>
        <w:numPr>
          <w:ilvl w:val="0"/>
          <w:numId w:val="0"/>
        </w:numPr>
        <w:jc w:val="both"/>
        <w:rPr>
          <w:rFonts w:hint="eastAsia"/>
        </w:rPr>
      </w:pP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80"/>
        <w:gridCol w:w="2259"/>
        <w:gridCol w:w="2378"/>
        <w:gridCol w:w="2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08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信息内容</w:t>
            </w:r>
          </w:p>
        </w:tc>
        <w:tc>
          <w:tcPr>
            <w:tcW w:w="2259"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本年</w:t>
            </w:r>
            <w:r>
              <w:rPr>
                <w:rStyle w:val="9"/>
                <w:lang w:val="en-US" w:eastAsia="zh-CN" w:bidi="ar"/>
              </w:rPr>
              <w:t>制发件数</w:t>
            </w:r>
          </w:p>
        </w:tc>
        <w:tc>
          <w:tcPr>
            <w:tcW w:w="2378"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本年废止件数</w:t>
            </w:r>
          </w:p>
        </w:tc>
        <w:tc>
          <w:tcPr>
            <w:tcW w:w="2023"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现行有效件</w:t>
            </w:r>
            <w:r>
              <w:rPr>
                <w:rStyle w:val="9"/>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08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规章</w:t>
            </w:r>
          </w:p>
        </w:tc>
        <w:tc>
          <w:tcPr>
            <w:tcW w:w="225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left"/>
              <w:textAlignment w:val="center"/>
              <w:rPr>
                <w:lang w:val="en-US"/>
              </w:rPr>
            </w:pPr>
            <w:r>
              <w:rPr>
                <w:rFonts w:hint="eastAsia" w:ascii="宋体" w:hAnsi="宋体" w:eastAsia="宋体" w:cs="宋体"/>
                <w:i w:val="0"/>
                <w:iCs w:val="0"/>
                <w:color w:val="000000"/>
                <w:kern w:val="0"/>
                <w:sz w:val="20"/>
                <w:szCs w:val="20"/>
                <w:u w:val="none"/>
                <w:lang w:val="en-US" w:eastAsia="zh-CN" w:bidi="ar"/>
              </w:rPr>
              <w:t>0</w:t>
            </w:r>
          </w:p>
        </w:tc>
        <w:tc>
          <w:tcPr>
            <w:tcW w:w="237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left"/>
              <w:textAlignment w:val="center"/>
              <w:rPr>
                <w:lang w:val="en-US"/>
              </w:rPr>
            </w:pPr>
            <w:r>
              <w:rPr>
                <w:rFonts w:hint="eastAsia" w:ascii="宋体" w:hAnsi="宋体" w:eastAsia="宋体" w:cs="宋体"/>
                <w:i w:val="0"/>
                <w:iCs w:val="0"/>
                <w:color w:val="000000"/>
                <w:kern w:val="0"/>
                <w:sz w:val="20"/>
                <w:szCs w:val="20"/>
                <w:u w:val="none"/>
                <w:lang w:val="en-US" w:eastAsia="zh-CN" w:bidi="ar"/>
              </w:rPr>
              <w:t xml:space="preserve"> 　0</w:t>
            </w:r>
          </w:p>
        </w:tc>
        <w:tc>
          <w:tcPr>
            <w:tcW w:w="202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left"/>
              <w:textAlignment w:val="center"/>
              <w:rPr>
                <w:lang w:val="en-US"/>
              </w:rPr>
            </w:pPr>
            <w:r>
              <w:rPr>
                <w:rFonts w:hint="default" w:ascii="Calibri" w:hAnsi="Calibri" w:eastAsia="等线" w:cs="Calibri"/>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08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行政规范性文件</w:t>
            </w:r>
          </w:p>
        </w:tc>
        <w:tc>
          <w:tcPr>
            <w:tcW w:w="225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left"/>
              <w:textAlignment w:val="center"/>
              <w:rPr>
                <w:lang w:val="en-US"/>
              </w:rPr>
            </w:pPr>
            <w:r>
              <w:rPr>
                <w:rFonts w:hint="eastAsia" w:ascii="宋体" w:hAnsi="宋体" w:eastAsia="宋体" w:cs="宋体"/>
                <w:i w:val="0"/>
                <w:iCs w:val="0"/>
                <w:color w:val="000000"/>
                <w:kern w:val="0"/>
                <w:sz w:val="20"/>
                <w:szCs w:val="20"/>
                <w:u w:val="none"/>
                <w:lang w:val="en-US" w:eastAsia="zh-CN" w:bidi="ar"/>
              </w:rPr>
              <w:t>0</w:t>
            </w:r>
          </w:p>
        </w:tc>
        <w:tc>
          <w:tcPr>
            <w:tcW w:w="237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left"/>
              <w:textAlignment w:val="center"/>
              <w:rPr>
                <w:lang w:val="en-US"/>
              </w:rPr>
            </w:pPr>
            <w:r>
              <w:rPr>
                <w:rFonts w:hint="eastAsia" w:ascii="宋体" w:hAnsi="宋体" w:eastAsia="宋体" w:cs="宋体"/>
                <w:i w:val="0"/>
                <w:iCs w:val="0"/>
                <w:color w:val="000000"/>
                <w:kern w:val="0"/>
                <w:sz w:val="20"/>
                <w:szCs w:val="20"/>
                <w:u w:val="none"/>
                <w:lang w:val="en-US" w:eastAsia="zh-CN" w:bidi="ar"/>
              </w:rPr>
              <w:t xml:space="preserve"> 　0</w:t>
            </w:r>
          </w:p>
        </w:tc>
        <w:tc>
          <w:tcPr>
            <w:tcW w:w="202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left"/>
              <w:textAlignment w:val="center"/>
              <w:rPr>
                <w:lang w:val="en-US"/>
              </w:rPr>
            </w:pPr>
            <w:r>
              <w:rPr>
                <w:rFonts w:hint="default" w:ascii="Calibri" w:hAnsi="Calibri" w:eastAsia="等线" w:cs="Calibri"/>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08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信息内容</w:t>
            </w:r>
          </w:p>
        </w:tc>
        <w:tc>
          <w:tcPr>
            <w:tcW w:w="6660"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08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行政许可</w:t>
            </w:r>
          </w:p>
        </w:tc>
        <w:tc>
          <w:tcPr>
            <w:tcW w:w="6660"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left"/>
              <w:textAlignment w:val="center"/>
              <w:rPr>
                <w:lang w:val="en-US"/>
              </w:rPr>
            </w:pPr>
            <w:r>
              <w:rPr>
                <w:rFonts w:hint="default" w:ascii="Calibri" w:hAnsi="Calibri" w:eastAsia="等线" w:cs="Calibri"/>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08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信息内容</w:t>
            </w:r>
          </w:p>
        </w:tc>
        <w:tc>
          <w:tcPr>
            <w:tcW w:w="6660"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08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行政处罚</w:t>
            </w:r>
          </w:p>
        </w:tc>
        <w:tc>
          <w:tcPr>
            <w:tcW w:w="6660"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left"/>
              <w:textAlignment w:val="center"/>
              <w:rPr>
                <w:lang w:val="en-US"/>
              </w:rPr>
            </w:pPr>
            <w:r>
              <w:rPr>
                <w:rFonts w:hint="default" w:ascii="Calibri" w:hAnsi="Calibri" w:eastAsia="等线" w:cs="Calibri"/>
                <w:i w:val="0"/>
                <w:iCs w:val="0"/>
                <w:color w:val="000000"/>
                <w:kern w:val="0"/>
                <w:sz w:val="21"/>
                <w:szCs w:val="21"/>
                <w:u w:val="none"/>
                <w:lang w:val="en-US" w:eastAsia="zh-CN" w:bidi="ar"/>
              </w:rPr>
              <w:t>1662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08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行政强制</w:t>
            </w:r>
          </w:p>
        </w:tc>
        <w:tc>
          <w:tcPr>
            <w:tcW w:w="6660"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left"/>
              <w:textAlignment w:val="center"/>
              <w:rPr>
                <w:lang w:val="en-US"/>
              </w:rPr>
            </w:pPr>
            <w:r>
              <w:rPr>
                <w:rFonts w:hint="default" w:ascii="Calibri" w:hAnsi="Calibri" w:eastAsia="等线" w:cs="Calibri"/>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08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信息内容</w:t>
            </w:r>
          </w:p>
        </w:tc>
        <w:tc>
          <w:tcPr>
            <w:tcW w:w="6660"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3080"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行政事业性收费</w:t>
            </w:r>
          </w:p>
        </w:tc>
        <w:tc>
          <w:tcPr>
            <w:tcW w:w="6660"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widowControl/>
              <w:suppressLineNumbers w:val="0"/>
              <w:jc w:val="left"/>
              <w:textAlignment w:val="center"/>
              <w:rPr>
                <w:rFonts w:hint="eastAsia" w:ascii="宋体" w:eastAsia="宋体"/>
                <w:sz w:val="24"/>
                <w:szCs w:val="24"/>
                <w:lang w:val="en-US" w:eastAsia="zh-CN"/>
              </w:rPr>
            </w:pPr>
            <w:r>
              <w:rPr>
                <w:rFonts w:hint="default" w:ascii="Calibri" w:hAnsi="Calibri" w:eastAsia="等线" w:cs="Calibri"/>
                <w:i w:val="0"/>
                <w:iCs w:val="0"/>
                <w:color w:val="000000"/>
                <w:kern w:val="0"/>
                <w:sz w:val="21"/>
                <w:szCs w:val="21"/>
                <w:u w:val="none"/>
                <w:lang w:val="en-US" w:eastAsia="zh-CN" w:bidi="ar"/>
              </w:rPr>
              <w:t>0</w:t>
            </w:r>
          </w:p>
        </w:tc>
      </w:tr>
    </w:tbl>
    <w:p>
      <w:pPr>
        <w:pStyle w:val="3"/>
        <w:numPr>
          <w:ilvl w:val="0"/>
          <w:numId w:val="0"/>
        </w:numPr>
        <w:jc w:val="both"/>
        <w:rPr>
          <w:rFonts w:hint="eastAsia"/>
        </w:rPr>
      </w:pPr>
    </w:p>
    <w:p>
      <w:pPr>
        <w:pStyle w:val="3"/>
        <w:numPr>
          <w:ilvl w:val="0"/>
          <w:numId w:val="0"/>
        </w:numPr>
        <w:jc w:val="both"/>
        <w:rPr>
          <w:rFonts w:hint="eastAsia"/>
        </w:rPr>
      </w:pPr>
    </w:p>
    <w:p>
      <w:pPr>
        <w:numPr>
          <w:ilvl w:val="0"/>
          <w:numId w:val="1"/>
        </w:numPr>
        <w:spacing w:line="560" w:lineRule="exact"/>
        <w:ind w:left="0" w:lef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caps w:val="0"/>
          <w:color w:val="333333"/>
          <w:spacing w:val="0"/>
          <w:sz w:val="24"/>
          <w:szCs w:val="24"/>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jc w:val="both"/>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jc w:val="both"/>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jc w:val="both"/>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jc w:val="both"/>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5</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lang w:val="en-US"/>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lang w:val="en-US"/>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lang w:val="en-US"/>
              </w:rPr>
            </w:pPr>
            <w:r>
              <w:rPr>
                <w:rFonts w:hint="default" w:ascii="Calibri" w:hAnsi="Calibri" w:eastAsia="等线" w:cs="Calibri"/>
                <w:i w:val="0"/>
                <w:iCs w:val="0"/>
                <w:color w:val="000000"/>
                <w:kern w:val="0"/>
                <w:sz w:val="20"/>
                <w:szCs w:val="20"/>
                <w:u w:val="none"/>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lang w:val="en-US"/>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lang w:val="en-US"/>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lang w:val="en-US"/>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lang w:val="en-US"/>
              </w:rPr>
            </w:pPr>
            <w:r>
              <w:rPr>
                <w:rFonts w:hint="default" w:ascii="Calibri" w:hAnsi="Calibri" w:eastAsia="等线" w:cs="Calibri"/>
                <w:i w:val="0"/>
                <w:iCs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lang w:val="en-US"/>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lang w:val="en-US"/>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lang w:val="en-US"/>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lang w:val="en-US"/>
              </w:rPr>
            </w:pPr>
            <w:r>
              <w:rPr>
                <w:rFonts w:hint="default" w:ascii="Calibri" w:hAnsi="Calibri" w:eastAsia="等线" w:cs="Calibri"/>
                <w:i w:val="0"/>
                <w:iCs w:val="0"/>
                <w:color w:val="000000"/>
                <w:kern w:val="0"/>
                <w:sz w:val="20"/>
                <w:szCs w:val="20"/>
                <w:u w:val="none"/>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lang w:val="en-US"/>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lang w:val="en-US"/>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lang w:val="en-US"/>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lang w:val="en-US"/>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lang w:val="en-US"/>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lang w:val="en-US"/>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lang w:val="en-US"/>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lang w:val="en-US"/>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lang w:val="en-US"/>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lang w:val="en-US"/>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宋体"/>
                <w:sz w:val="24"/>
                <w:szCs w:val="24"/>
              </w:rPr>
            </w:pPr>
          </w:p>
        </w:tc>
        <w:tc>
          <w:tcPr>
            <w:tcW w:w="943" w:type="dxa"/>
            <w:vMerge w:val="restart"/>
            <w:tcBorders>
              <w:top w:val="outset" w:color="auto" w:sz="8" w:space="0"/>
              <w:left w:val="nil"/>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0.其他处理总计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0"/>
                <w:szCs w:val="20"/>
                <w:u w:val="none"/>
                <w:lang w:val="en-US" w:eastAsia="zh-CN" w:bidi="ar"/>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0"/>
                <w:szCs w:val="20"/>
                <w:u w:val="none"/>
                <w:lang w:val="en-US" w:eastAsia="zh-CN" w:bidi="ar"/>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0"/>
                <w:szCs w:val="20"/>
                <w:u w:val="none"/>
                <w:lang w:val="en-US" w:eastAsia="zh-CN" w:bidi="ar"/>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0"/>
                <w:szCs w:val="20"/>
                <w:u w:val="none"/>
                <w:lang w:val="en-US" w:eastAsia="zh-CN" w:bidi="ar"/>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0"/>
                <w:szCs w:val="20"/>
                <w:u w:val="none"/>
                <w:lang w:val="en-US" w:eastAsia="zh-CN" w:bidi="ar"/>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0"/>
                <w:szCs w:val="20"/>
                <w:u w:val="none"/>
                <w:lang w:val="en-US" w:eastAsia="zh-CN" w:bidi="ar"/>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rFonts w:hint="default" w:ascii="Calibri" w:hAnsi="Calibri" w:eastAsia="等线" w:cs="Calibri"/>
                <w:i w:val="0"/>
                <w:iCs w:val="0"/>
                <w:color w:val="000000"/>
                <w:kern w:val="0"/>
                <w:sz w:val="20"/>
                <w:szCs w:val="20"/>
                <w:u w:val="none"/>
                <w:lang w:val="en-US" w:eastAsia="zh-CN" w:bidi="ar"/>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宋体"/>
                <w:sz w:val="24"/>
                <w:szCs w:val="24"/>
              </w:rPr>
            </w:pPr>
          </w:p>
        </w:tc>
        <w:tc>
          <w:tcPr>
            <w:tcW w:w="943" w:type="dxa"/>
            <w:vMerge w:val="continue"/>
            <w:tcBorders>
              <w:left w:val="nil"/>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宋体"/>
                <w:sz w:val="24"/>
                <w:szCs w:val="24"/>
              </w:rPr>
            </w:pPr>
          </w:p>
        </w:tc>
        <w:tc>
          <w:tcPr>
            <w:tcW w:w="943" w:type="dxa"/>
            <w:vMerge w:val="continue"/>
            <w:tcBorders>
              <w:left w:val="nil"/>
              <w:right w:val="single" w:color="auto" w:sz="8" w:space="0"/>
            </w:tcBorders>
            <w:shd w:val="clear" w:color="auto" w:fill="DDEBF7"/>
            <w:tcMar>
              <w:left w:w="57" w:type="dxa"/>
              <w:right w:w="57" w:type="dxa"/>
            </w:tcMar>
            <w:vAlign w:val="center"/>
          </w:tcPr>
          <w:p>
            <w:pPr>
              <w:jc w:val="both"/>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宋体"/>
                <w:sz w:val="24"/>
                <w:szCs w:val="24"/>
              </w:rPr>
            </w:pPr>
          </w:p>
        </w:tc>
        <w:tc>
          <w:tcPr>
            <w:tcW w:w="943" w:type="dxa"/>
            <w:vMerge w:val="continue"/>
            <w:tcBorders>
              <w:left w:val="nil"/>
              <w:bottom w:val="outset" w:color="auto" w:sz="8" w:space="0"/>
              <w:right w:val="single" w:color="auto" w:sz="8" w:space="0"/>
            </w:tcBorders>
            <w:shd w:val="clear" w:color="auto" w:fill="DDEBF7"/>
            <w:tcMar>
              <w:left w:w="57" w:type="dxa"/>
              <w:right w:w="57" w:type="dxa"/>
            </w:tcMar>
            <w:vAlign w:val="center"/>
          </w:tcPr>
          <w:p>
            <w:pPr>
              <w:jc w:val="both"/>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jc w:val="both"/>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jc w:val="center"/>
              <w:textAlignment w:val="center"/>
              <w:rPr>
                <w:lang w:val="en-US"/>
              </w:rPr>
            </w:pPr>
            <w:r>
              <w:rPr>
                <w:rFonts w:hint="default" w:ascii="Calibri" w:hAnsi="Calibri" w:eastAsia="等线" w:cs="Calibri"/>
                <w:i w:val="0"/>
                <w:iCs w:val="0"/>
                <w:color w:val="000000"/>
                <w:kern w:val="0"/>
                <w:sz w:val="20"/>
                <w:szCs w:val="20"/>
                <w:u w:val="none"/>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jc w:val="center"/>
              <w:textAlignment w:val="center"/>
              <w:rPr>
                <w:rFonts w:hint="eastAsia" w:ascii="宋体"/>
                <w:sz w:val="24"/>
                <w:szCs w:val="24"/>
              </w:rPr>
            </w:pPr>
            <w:r>
              <w:rPr>
                <w:rFonts w:hint="default" w:ascii="Calibri" w:hAnsi="Calibri" w:eastAsia="等线" w:cs="Calibri"/>
                <w:i w:val="0"/>
                <w:iCs w:val="0"/>
                <w:color w:val="000000"/>
                <w:kern w:val="0"/>
                <w:sz w:val="20"/>
                <w:szCs w:val="20"/>
                <w:u w:val="none"/>
                <w:lang w:val="en-US" w:eastAsia="zh-CN" w:bidi="ar"/>
              </w:rPr>
              <w:t>1</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jc w:val="center"/>
              <w:textAlignment w:val="center"/>
              <w:rPr>
                <w:rFonts w:hint="eastAsia" w:ascii="宋体"/>
                <w:sz w:val="24"/>
                <w:szCs w:val="24"/>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jc w:val="center"/>
              <w:textAlignment w:val="center"/>
              <w:rPr>
                <w:rFonts w:hint="eastAsia" w:ascii="宋体"/>
                <w:sz w:val="24"/>
                <w:szCs w:val="24"/>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jc w:val="center"/>
              <w:textAlignment w:val="center"/>
              <w:rPr>
                <w:rFonts w:hint="eastAsia" w:ascii="宋体"/>
                <w:sz w:val="24"/>
                <w:szCs w:val="24"/>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jc w:val="center"/>
              <w:textAlignment w:val="center"/>
              <w:rPr>
                <w:rFonts w:hint="eastAsia" w:ascii="宋体"/>
                <w:sz w:val="24"/>
                <w:szCs w:val="24"/>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jc w:val="center"/>
              <w:textAlignment w:val="center"/>
              <w:rPr>
                <w:rFonts w:hint="eastAsia" w:ascii="宋体"/>
                <w:sz w:val="24"/>
                <w:szCs w:val="24"/>
              </w:rPr>
            </w:pPr>
            <w:r>
              <w:rPr>
                <w:rFonts w:hint="default" w:ascii="Calibri" w:hAnsi="Calibri" w:eastAsia="等线" w:cs="Calibri"/>
                <w:i w:val="0"/>
                <w:iCs w:val="0"/>
                <w:color w:val="000000"/>
                <w:kern w:val="0"/>
                <w:sz w:val="20"/>
                <w:szCs w:val="20"/>
                <w:u w:val="none"/>
                <w:lang w:val="en-US" w:eastAsia="zh-CN" w:bidi="ar"/>
              </w:rPr>
              <w:t>0</w:t>
            </w:r>
          </w:p>
        </w:tc>
        <w:tc>
          <w:tcPr>
            <w:tcW w:w="689" w:type="dxa"/>
            <w:tcBorders>
              <w:top w:val="outset" w:color="auto" w:sz="6" w:space="0"/>
              <w:left w:val="nil"/>
              <w:bottom w:val="outset" w:color="auto" w:sz="6" w:space="0"/>
              <w:right w:val="outset" w:color="auto" w:sz="6" w:space="0"/>
            </w:tcBorders>
            <w:vAlign w:val="center"/>
          </w:tcPr>
          <w:p>
            <w:pPr>
              <w:keepNext w:val="0"/>
              <w:keepLines w:val="0"/>
              <w:widowControl/>
              <w:suppressLineNumbers w:val="0"/>
              <w:jc w:val="center"/>
              <w:textAlignment w:val="center"/>
              <w:rPr>
                <w:rFonts w:hint="eastAsia" w:ascii="宋体"/>
                <w:sz w:val="24"/>
                <w:szCs w:val="24"/>
              </w:rPr>
            </w:pPr>
            <w:r>
              <w:rPr>
                <w:rFonts w:hint="default" w:ascii="Calibri" w:hAnsi="Calibri" w:eastAsia="等线" w:cs="Calibri"/>
                <w:i w:val="0"/>
                <w:iCs w:val="0"/>
                <w:color w:val="000000"/>
                <w:kern w:val="0"/>
                <w:sz w:val="20"/>
                <w:szCs w:val="20"/>
                <w:u w:val="none"/>
                <w:lang w:val="en-US" w:eastAsia="zh-CN" w:bidi="ar"/>
              </w:rPr>
              <w:t>1</w:t>
            </w:r>
          </w:p>
        </w:tc>
      </w:tr>
    </w:tbl>
    <w:p>
      <w:pPr>
        <w:pStyle w:val="3"/>
        <w:numPr>
          <w:ilvl w:val="0"/>
          <w:numId w:val="0"/>
        </w:numPr>
        <w:ind w:leftChars="200"/>
        <w:jc w:val="both"/>
        <w:rPr>
          <w:rFonts w:hint="eastAsia"/>
        </w:rPr>
      </w:pPr>
    </w:p>
    <w:p>
      <w:pPr>
        <w:pStyle w:val="3"/>
        <w:numPr>
          <w:ilvl w:val="0"/>
          <w:numId w:val="0"/>
        </w:numPr>
        <w:ind w:leftChars="200"/>
        <w:jc w:val="both"/>
        <w:rPr>
          <w:rFonts w:hint="eastAsia"/>
        </w:rPr>
      </w:pPr>
    </w:p>
    <w:p>
      <w:pPr>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both"/>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lang w:val="en-US"/>
              </w:rPr>
            </w:pPr>
            <w:r>
              <w:rPr>
                <w:rFonts w:hint="eastAsia" w:ascii="黑体" w:hAnsi="宋体" w:eastAsia="黑体" w:cs="黑体"/>
                <w:i w:val="0"/>
                <w:iCs w:val="0"/>
                <w:color w:val="000000"/>
                <w:kern w:val="0"/>
                <w:sz w:val="20"/>
                <w:szCs w:val="20"/>
                <w:u w:val="none"/>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lang w:val="en-US"/>
              </w:rPr>
            </w:pPr>
            <w:r>
              <w:rPr>
                <w:rFonts w:hint="eastAsia" w:ascii="黑体" w:hAnsi="宋体" w:eastAsia="黑体" w:cs="黑体"/>
                <w:i w:val="0"/>
                <w:iCs w:val="0"/>
                <w:color w:val="000000"/>
                <w:kern w:val="0"/>
                <w:sz w:val="20"/>
                <w:szCs w:val="20"/>
                <w:u w:val="none"/>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lang w:val="en-US"/>
              </w:rPr>
            </w:pPr>
            <w:r>
              <w:rPr>
                <w:rFonts w:hint="eastAsia" w:ascii="黑体" w:hAnsi="宋体" w:eastAsia="黑体" w:cs="黑体"/>
                <w:i w:val="0"/>
                <w:iCs w:val="0"/>
                <w:color w:val="000000"/>
                <w:kern w:val="0"/>
                <w:sz w:val="20"/>
                <w:szCs w:val="20"/>
                <w:u w:val="none"/>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lang w:val="en-US"/>
              </w:rPr>
            </w:pPr>
            <w:r>
              <w:rPr>
                <w:rFonts w:hint="eastAsia" w:ascii="黑体" w:hAnsi="宋体" w:eastAsia="黑体" w:cs="黑体"/>
                <w:i w:val="0"/>
                <w:iCs w:val="0"/>
                <w:color w:val="000000"/>
                <w:kern w:val="0"/>
                <w:sz w:val="20"/>
                <w:szCs w:val="20"/>
                <w:u w:val="none"/>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lang w:val="en-US"/>
              </w:rPr>
            </w:pPr>
            <w:r>
              <w:rPr>
                <w:rFonts w:hint="eastAsia" w:ascii="黑体" w:hAnsi="宋体" w:eastAsia="黑体" w:cs="黑体"/>
                <w:i w:val="0"/>
                <w:iCs w:val="0"/>
                <w:color w:val="000000"/>
                <w:kern w:val="0"/>
                <w:sz w:val="20"/>
                <w:szCs w:val="20"/>
                <w:u w:val="none"/>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lang w:val="en-US"/>
              </w:rPr>
            </w:pPr>
            <w:r>
              <w:rPr>
                <w:rFonts w:hint="eastAsia" w:ascii="黑体" w:hAnsi="宋体" w:eastAsia="黑体" w:cs="黑体"/>
                <w:i w:val="0"/>
                <w:iCs w:val="0"/>
                <w:color w:val="000000"/>
                <w:kern w:val="0"/>
                <w:sz w:val="20"/>
                <w:szCs w:val="20"/>
                <w:u w:val="none"/>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1</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lang w:val="en-US"/>
              </w:rPr>
            </w:pPr>
            <w:r>
              <w:rPr>
                <w:rFonts w:hint="eastAsia" w:ascii="黑体" w:hAnsi="宋体" w:eastAsia="黑体" w:cs="黑体"/>
                <w:i w:val="0"/>
                <w:iCs w:val="0"/>
                <w:color w:val="000000"/>
                <w:kern w:val="0"/>
                <w:sz w:val="20"/>
                <w:szCs w:val="20"/>
                <w:u w:val="none"/>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lang w:val="en-US"/>
              </w:rPr>
            </w:pPr>
            <w:r>
              <w:rPr>
                <w:rFonts w:hint="eastAsia" w:ascii="黑体" w:hAnsi="宋体" w:eastAsia="黑体" w:cs="黑体"/>
                <w:i w:val="0"/>
                <w:iCs w:val="0"/>
                <w:color w:val="000000"/>
                <w:kern w:val="0"/>
                <w:sz w:val="20"/>
                <w:szCs w:val="20"/>
                <w:u w:val="none"/>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lang w:val="en-US"/>
              </w:rPr>
            </w:pPr>
            <w:r>
              <w:rPr>
                <w:rFonts w:hint="eastAsia" w:ascii="黑体" w:hAnsi="宋体" w:eastAsia="黑体" w:cs="黑体"/>
                <w:i w:val="0"/>
                <w:iCs w:val="0"/>
                <w:color w:val="000000"/>
                <w:kern w:val="0"/>
                <w:sz w:val="20"/>
                <w:szCs w:val="20"/>
                <w:u w:val="none"/>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jc w:val="center"/>
              <w:textAlignment w:val="center"/>
              <w:rPr>
                <w:rFonts w:hint="eastAsia" w:ascii="宋体" w:eastAsia="宋体"/>
                <w:sz w:val="24"/>
                <w:szCs w:val="24"/>
                <w:lang w:val="en-US" w:eastAsia="zh-CN"/>
              </w:rPr>
            </w:pPr>
            <w:r>
              <w:rPr>
                <w:rFonts w:hint="eastAsia" w:ascii="黑体" w:hAnsi="宋体" w:eastAsia="黑体" w:cs="黑体"/>
                <w:i w:val="0"/>
                <w:iCs w:val="0"/>
                <w:color w:val="000000"/>
                <w:kern w:val="0"/>
                <w:sz w:val="20"/>
                <w:szCs w:val="20"/>
                <w:u w:val="none"/>
                <w:lang w:val="en-US" w:eastAsia="zh-CN" w:bidi="ar"/>
              </w:rPr>
              <w:t>0</w:t>
            </w:r>
          </w:p>
        </w:tc>
      </w:tr>
    </w:tbl>
    <w:p>
      <w:pPr>
        <w:keepNext w:val="0"/>
        <w:keepLines w:val="0"/>
        <w:widowControl/>
        <w:suppressLineNumbers w:val="0"/>
        <w:jc w:val="both"/>
      </w:pPr>
    </w:p>
    <w:p>
      <w:pPr>
        <w:widowControl/>
        <w:spacing w:line="560" w:lineRule="exact"/>
        <w:ind w:firstLine="672" w:firstLineChars="200"/>
        <w:jc w:val="both"/>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宋体" w:eastAsia="仿宋_GB2312" w:cs="宋体"/>
          <w:b w:val="0"/>
          <w:bCs w:val="0"/>
          <w:spacing w:val="8"/>
          <w:kern w:val="0"/>
          <w:sz w:val="32"/>
          <w:szCs w:val="32"/>
          <w:lang w:val="en-US" w:eastAsia="zh-CN"/>
        </w:rPr>
      </w:pPr>
      <w:r>
        <w:rPr>
          <w:rFonts w:hint="eastAsia" w:ascii="仿宋_GB2312" w:hAnsi="宋体" w:eastAsia="仿宋_GB2312" w:cs="宋体"/>
          <w:b/>
          <w:bCs/>
          <w:spacing w:val="8"/>
          <w:kern w:val="0"/>
          <w:sz w:val="32"/>
          <w:szCs w:val="32"/>
          <w:lang w:val="en-US" w:eastAsia="zh-CN"/>
        </w:rPr>
        <w:t>存在问题：</w:t>
      </w:r>
      <w:r>
        <w:rPr>
          <w:rFonts w:hint="eastAsia" w:ascii="仿宋_GB2312" w:hAnsi="宋体" w:eastAsia="仿宋_GB2312" w:cs="宋体"/>
          <w:b w:val="0"/>
          <w:bCs w:val="0"/>
          <w:spacing w:val="8"/>
          <w:kern w:val="0"/>
          <w:sz w:val="32"/>
          <w:szCs w:val="32"/>
          <w:lang w:val="en-US" w:eastAsia="zh-CN"/>
        </w:rPr>
        <w:t>政府网站运维监管仍需强化，重点领域信息主动公开仍需深化，政务公开工作队伍稳定性和专业性仍需加强。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75"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b/>
          <w:bCs/>
          <w:spacing w:val="8"/>
          <w:kern w:val="0"/>
          <w:sz w:val="32"/>
          <w:szCs w:val="32"/>
          <w:lang w:val="en-US" w:eastAsia="zh-CN"/>
        </w:rPr>
        <w:t>改进措施：一是</w:t>
      </w:r>
      <w:r>
        <w:rPr>
          <w:rFonts w:hint="eastAsia" w:ascii="仿宋_GB2312" w:hAnsi="宋体" w:eastAsia="仿宋_GB2312" w:cs="宋体"/>
          <w:b w:val="0"/>
          <w:bCs w:val="0"/>
          <w:spacing w:val="8"/>
          <w:kern w:val="0"/>
          <w:sz w:val="32"/>
          <w:szCs w:val="32"/>
          <w:lang w:val="en-US" w:eastAsia="zh-CN"/>
        </w:rPr>
        <w:t>提升信息公开质量。加大主动公开力度，及时更新信息，推进重点领域信息公开，提升政策文件公开质量，不断增强政府公信力和执行力。</w:t>
      </w:r>
      <w:r>
        <w:rPr>
          <w:rFonts w:hint="eastAsia" w:ascii="仿宋_GB2312" w:hAnsi="宋体" w:eastAsia="仿宋_GB2312" w:cs="宋体"/>
          <w:b/>
          <w:bCs/>
          <w:spacing w:val="8"/>
          <w:kern w:val="0"/>
          <w:sz w:val="32"/>
          <w:szCs w:val="32"/>
          <w:lang w:val="en-US" w:eastAsia="zh-CN"/>
        </w:rPr>
        <w:t>二是</w:t>
      </w:r>
      <w:r>
        <w:rPr>
          <w:rFonts w:hint="eastAsia" w:ascii="仿宋_GB2312" w:hAnsi="宋体" w:eastAsia="仿宋_GB2312" w:cs="宋体"/>
          <w:b w:val="0"/>
          <w:bCs w:val="0"/>
          <w:spacing w:val="8"/>
          <w:kern w:val="0"/>
          <w:sz w:val="32"/>
          <w:szCs w:val="32"/>
          <w:lang w:val="en-US" w:eastAsia="zh-CN"/>
        </w:rPr>
        <w:t>持续做好政府网站运行情况的日常检查，及时更新网站信息，确保时效性。</w:t>
      </w:r>
      <w:r>
        <w:rPr>
          <w:rFonts w:hint="eastAsia" w:ascii="仿宋_GB2312" w:hAnsi="宋体" w:eastAsia="仿宋_GB2312" w:cs="宋体"/>
          <w:b/>
          <w:bCs/>
          <w:spacing w:val="8"/>
          <w:kern w:val="0"/>
          <w:sz w:val="32"/>
          <w:szCs w:val="32"/>
          <w:lang w:val="en-US" w:eastAsia="zh-CN"/>
        </w:rPr>
        <w:t>三是</w:t>
      </w:r>
      <w:r>
        <w:rPr>
          <w:rFonts w:hint="eastAsia" w:ascii="仿宋_GB2312" w:hAnsi="宋体" w:eastAsia="仿宋_GB2312" w:cs="宋体"/>
          <w:b w:val="0"/>
          <w:bCs w:val="0"/>
          <w:spacing w:val="8"/>
          <w:kern w:val="0"/>
          <w:sz w:val="32"/>
          <w:szCs w:val="32"/>
          <w:lang w:val="en-US" w:eastAsia="zh-CN"/>
        </w:rPr>
        <w:t>加强政务公开工作队伍建设。完善政务公开工作规范，加强对工作人员的培训力度，全面提升政务公开工作队伍能力和水平。</w:t>
      </w:r>
    </w:p>
    <w:p>
      <w:pPr>
        <w:widowControl/>
        <w:spacing w:line="560" w:lineRule="exact"/>
        <w:ind w:firstLine="675"/>
        <w:jc w:val="both"/>
        <w:rPr>
          <w:rFonts w:ascii="宋体" w:hAnsi="宋体" w:cs="宋体"/>
          <w:spacing w:val="8"/>
          <w:kern w:val="0"/>
          <w:sz w:val="32"/>
          <w:szCs w:val="32"/>
        </w:rPr>
      </w:pPr>
      <w:r>
        <w:rPr>
          <w:rFonts w:ascii="黑体" w:hAnsi="黑体" w:eastAsia="黑体" w:cs="宋体"/>
          <w:spacing w:val="8"/>
          <w:kern w:val="0"/>
          <w:sz w:val="32"/>
          <w:szCs w:val="32"/>
        </w:rPr>
        <w:t>六、其他需要报告的事项</w:t>
      </w:r>
      <w:bookmarkStart w:id="0" w:name="_GoBack"/>
      <w:bookmarkEnd w:id="0"/>
    </w:p>
    <w:p>
      <w:pPr>
        <w:jc w:val="both"/>
        <w:rPr>
          <w:rFonts w:hint="eastAsia" w:eastAsia="宋体"/>
          <w:lang w:eastAsia="zh-CN"/>
        </w:rPr>
      </w:pPr>
      <w:r>
        <w:rPr>
          <w:rFonts w:ascii="宋体" w:hAnsi="宋体" w:cs="宋体"/>
          <w:spacing w:val="8"/>
          <w:kern w:val="0"/>
          <w:sz w:val="32"/>
          <w:szCs w:val="32"/>
        </w:rPr>
        <w:t>　　</w:t>
      </w:r>
      <w:r>
        <w:rPr>
          <w:rFonts w:hint="eastAsia" w:ascii="仿宋_GB2312" w:hAnsi="宋体" w:eastAsia="仿宋_GB2312" w:cs="宋体"/>
          <w:spacing w:val="8"/>
          <w:kern w:val="0"/>
          <w:sz w:val="32"/>
          <w:szCs w:val="32"/>
          <w:lang w:val="en-US" w:eastAsia="zh-CN"/>
        </w:rPr>
        <w:t>我单位本年度发出收费通知的件数和总金额以及实际收取的总金额均为0。</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OGZhY2UwMmJmZmJmMTJlYWJjNmI2NjI2MWU3NzAifQ=="/>
  </w:docVars>
  <w:rsids>
    <w:rsidRoot w:val="00000000"/>
    <w:rsid w:val="06CE30BA"/>
    <w:rsid w:val="11932C9E"/>
    <w:rsid w:val="19F31341"/>
    <w:rsid w:val="20407E3E"/>
    <w:rsid w:val="254F7089"/>
    <w:rsid w:val="2A467D32"/>
    <w:rsid w:val="2E123250"/>
    <w:rsid w:val="4C373E1E"/>
    <w:rsid w:val="4F963401"/>
    <w:rsid w:val="51FD67B0"/>
    <w:rsid w:val="584E4BF1"/>
    <w:rsid w:val="66AD6467"/>
    <w:rsid w:val="6CA5024B"/>
    <w:rsid w:val="6CEB4BCD"/>
    <w:rsid w:val="7073427E"/>
    <w:rsid w:val="70FB2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9">
    <w:name w:val="font3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1925</Words>
  <Characters>1961</Characters>
  <Lines>0</Lines>
  <Paragraphs>0</Paragraphs>
  <TotalTime>10</TotalTime>
  <ScaleCrop>false</ScaleCrop>
  <LinksUpToDate>false</LinksUpToDate>
  <CharactersWithSpaces>1975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2025-01-16T07:07:17Z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eyJoZGlkIjoiYWY1NjhkNjliMDdiYzM0MjcxODExMDQwOTI3MjVjNTAiLCJ1c2VySWQiOiIzOTYxNjYxNzEifQ==</vt:lpwstr>
  </property>
  <property fmtid="{D5CDD505-2E9C-101B-9397-08002B2CF9AE}" pid="4" name="ICV">
    <vt:lpwstr>C068F0F1D20A4A86B36611A197B418DB_12</vt:lpwstr>
  </property>
</Properties>
</file>