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北京市大兴区兴丰街道办事处</w:t>
      </w:r>
    </w:p>
    <w:p>
      <w:pPr>
        <w:spacing w:line="560" w:lineRule="exact"/>
        <w:jc w:val="center"/>
        <w:rPr>
          <w:sz w:val="44"/>
          <w:szCs w:val="44"/>
        </w:rPr>
      </w:pPr>
      <w:r>
        <w:rPr>
          <w:rFonts w:hint="eastAsia" w:ascii="方正小标宋简体" w:hAnsi="方正小标宋简体" w:eastAsia="方正小标宋简体" w:cs="方正小标宋简体"/>
          <w:sz w:val="44"/>
          <w:szCs w:val="44"/>
          <w:lang w:bidi="ar"/>
        </w:rPr>
        <w:t>2024年政府信息公开工作年度报告</w:t>
      </w: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pStyle w:val="3"/>
        <w:widowControl/>
        <w:shd w:val="clear" w:color="auto" w:fill="FFFFFF"/>
        <w:spacing w:before="0" w:beforeAutospacing="0" w:after="150" w:afterAutospacing="0" w:line="560" w:lineRule="atLeast"/>
        <w:ind w:firstLine="643"/>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1.组织领导情况。为推进</w:t>
      </w:r>
      <w:r>
        <w:rPr>
          <w:rFonts w:hint="eastAsia" w:ascii="仿宋_GB2312" w:hAnsi="仿宋_GB2312" w:eastAsia="仿宋_GB2312" w:cs="仿宋_GB2312"/>
          <w:sz w:val="32"/>
          <w:szCs w:val="32"/>
          <w:shd w:val="clear" w:color="auto" w:fill="FFFFFF"/>
          <w:lang w:eastAsia="zh-CN"/>
        </w:rPr>
        <w:t>政府</w:t>
      </w:r>
      <w:r>
        <w:rPr>
          <w:rFonts w:hint="eastAsia" w:ascii="仿宋_GB2312" w:hAnsi="仿宋_GB2312" w:eastAsia="仿宋_GB2312" w:cs="仿宋_GB2312"/>
          <w:sz w:val="32"/>
          <w:szCs w:val="32"/>
          <w:shd w:val="clear" w:color="auto" w:fill="FFFFFF"/>
        </w:rPr>
        <w:t>信息公开工作有序开展，我街道明确由街道工委副书记主抓政府信息公开工作，</w:t>
      </w:r>
      <w:r>
        <w:rPr>
          <w:rFonts w:hint="eastAsia" w:ascii="仿宋_GB2312" w:hAnsi="仿宋_GB2312" w:eastAsia="仿宋_GB2312" w:cs="仿宋_GB2312"/>
          <w:sz w:val="32"/>
          <w:szCs w:val="32"/>
        </w:rPr>
        <w:t>综合办公室为政务公开主管部门，街道各科室、各社区提供资料信息，</w:t>
      </w:r>
      <w:r>
        <w:rPr>
          <w:rFonts w:hint="eastAsia" w:ascii="仿宋_GB2312" w:hAnsi="仿宋_GB2312" w:eastAsia="仿宋_GB2312" w:cs="仿宋_GB2312"/>
          <w:sz w:val="32"/>
          <w:szCs w:val="32"/>
          <w:shd w:val="clear" w:color="auto" w:fill="FFFFFF"/>
        </w:rPr>
        <w:t>综合办公室设专人负责信息的收集、整合、报送等工作。严格按照规定实施政府信息公开保密审查、依申请公开等工作，确保政府信息公开工作及时、准确、规范落实。</w:t>
      </w:r>
    </w:p>
    <w:p>
      <w:pPr>
        <w:widowControl/>
        <w:spacing w:line="560" w:lineRule="exact"/>
        <w:ind w:firstLine="67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2.主动公开情况。2024年我街道</w:t>
      </w:r>
      <w:r>
        <w:rPr>
          <w:rFonts w:hint="eastAsia" w:ascii="仿宋_GB2312" w:hAnsi="仿宋_GB2312" w:eastAsia="仿宋_GB2312" w:cs="仿宋_GB2312"/>
          <w:sz w:val="32"/>
          <w:szCs w:val="32"/>
          <w:shd w:val="clear" w:color="auto" w:fill="FFFFFF"/>
          <w:lang w:eastAsia="zh-CN"/>
        </w:rPr>
        <w:t>主动公开</w:t>
      </w:r>
      <w:r>
        <w:rPr>
          <w:rFonts w:hint="eastAsia" w:ascii="仿宋_GB2312" w:hAnsi="仿宋_GB2312" w:eastAsia="仿宋_GB2312" w:cs="仿宋_GB2312"/>
          <w:sz w:val="32"/>
          <w:szCs w:val="32"/>
          <w:shd w:val="clear" w:color="auto" w:fill="FFFFFF"/>
        </w:rPr>
        <w:t>政府信息</w:t>
      </w:r>
      <w:r>
        <w:rPr>
          <w:rFonts w:hint="eastAsia" w:ascii="仿宋_GB2312" w:hAnsi="仿宋_GB2312" w:eastAsia="仿宋_GB2312" w:cs="仿宋_GB2312"/>
          <w:sz w:val="32"/>
          <w:szCs w:val="32"/>
          <w:shd w:val="clear" w:color="auto" w:fill="FFFFFF"/>
          <w:lang w:val="en-US" w:eastAsia="zh-CN"/>
        </w:rPr>
        <w:t>264条</w:t>
      </w:r>
      <w:r>
        <w:rPr>
          <w:rFonts w:hint="eastAsia" w:ascii="仿宋_GB2312" w:hAnsi="仿宋_GB2312" w:eastAsia="仿宋_GB2312" w:cs="仿宋_GB2312"/>
          <w:sz w:val="32"/>
          <w:szCs w:val="32"/>
          <w:shd w:val="clear" w:color="auto" w:fill="FFFFFF"/>
          <w:lang w:eastAsia="zh-CN"/>
        </w:rPr>
        <w:t>，包括镇街动态</w:t>
      </w:r>
      <w:r>
        <w:rPr>
          <w:rFonts w:hint="eastAsia" w:ascii="仿宋_GB2312" w:hAnsi="仿宋_GB2312" w:eastAsia="仿宋_GB2312" w:cs="仿宋_GB2312"/>
          <w:sz w:val="32"/>
          <w:szCs w:val="32"/>
          <w:shd w:val="clear" w:color="auto" w:fill="FFFFFF"/>
          <w:lang w:val="en-US" w:eastAsia="zh-CN"/>
        </w:rPr>
        <w:t>29条；</w:t>
      </w:r>
      <w:r>
        <w:rPr>
          <w:rFonts w:hint="eastAsia" w:ascii="仿宋_GB2312" w:hAnsi="仿宋_GB2312" w:eastAsia="仿宋_GB2312" w:cs="仿宋_GB2312"/>
          <w:sz w:val="32"/>
          <w:szCs w:val="32"/>
          <w:shd w:val="clear" w:color="auto" w:fill="FFFFFF"/>
        </w:rPr>
        <w:t>重点领域公开信息</w:t>
      </w:r>
      <w:r>
        <w:rPr>
          <w:rFonts w:hint="eastAsia" w:ascii="仿宋_GB2312" w:hAnsi="仿宋_GB2312" w:eastAsia="仿宋_GB2312" w:cs="仿宋_GB2312"/>
          <w:sz w:val="32"/>
          <w:szCs w:val="32"/>
          <w:shd w:val="clear" w:color="auto" w:fill="FFFFFF"/>
          <w:lang w:val="en-US" w:eastAsia="zh-CN"/>
        </w:rPr>
        <w:t>216</w:t>
      </w:r>
      <w:r>
        <w:rPr>
          <w:rFonts w:hint="eastAsia" w:ascii="仿宋_GB2312" w:hAnsi="仿宋_GB2312" w:eastAsia="仿宋_GB2312" w:cs="仿宋_GB2312"/>
          <w:sz w:val="32"/>
          <w:szCs w:val="32"/>
          <w:shd w:val="clear" w:color="auto" w:fill="FFFFFF"/>
        </w:rPr>
        <w:t>条，其中社会保障16条、城市管理综合行政执法60条、</w:t>
      </w:r>
      <w:r>
        <w:rPr>
          <w:rFonts w:hint="eastAsia" w:ascii="仿宋_GB2312" w:hAnsi="仿宋_GB2312" w:eastAsia="仿宋_GB2312" w:cs="仿宋_GB2312"/>
          <w:sz w:val="32"/>
          <w:szCs w:val="32"/>
        </w:rPr>
        <w:t>执法公示</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shd w:val="clear" w:color="auto" w:fill="FFFFFF"/>
        </w:rPr>
        <w:t>预决算4条</w:t>
      </w:r>
      <w:r>
        <w:rPr>
          <w:rFonts w:hint="eastAsia" w:ascii="仿宋_GB2312" w:hAnsi="仿宋_GB2312" w:eastAsia="仿宋_GB2312" w:cs="仿宋_GB2312"/>
          <w:sz w:val="32"/>
          <w:szCs w:val="32"/>
          <w:shd w:val="clear" w:color="auto" w:fill="FFFFFF"/>
          <w:lang w:eastAsia="zh-CN"/>
        </w:rPr>
        <w:t>；通知公告</w:t>
      </w:r>
      <w:r>
        <w:rPr>
          <w:rFonts w:hint="eastAsia" w:ascii="仿宋_GB2312" w:hAnsi="仿宋_GB2312" w:eastAsia="仿宋_GB2312" w:cs="仿宋_GB2312"/>
          <w:sz w:val="32"/>
          <w:szCs w:val="32"/>
          <w:shd w:val="clear" w:color="auto" w:fill="FFFFFF"/>
          <w:lang w:val="en-US" w:eastAsia="zh-CN"/>
        </w:rPr>
        <w:t>19条；举办政务开放日活动1次；同时动态更新领导简介信息，保障社会公众的知情权、参与权和监督权。</w:t>
      </w:r>
    </w:p>
    <w:p>
      <w:pPr>
        <w:pStyle w:val="2"/>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依申请公开办理情况。2024年我街道收到政府信息公开申请2件，申请方式为邮寄形式，答复告知书严格按照《政府信息公开条例》规定，按规按期完成答复。2024年度我街道未产生因政府信息公开申请行政复议、提起行政诉讼情况。</w:t>
      </w:r>
    </w:p>
    <w:p>
      <w:pPr>
        <w:pStyle w:val="3"/>
        <w:widowControl/>
        <w:numPr>
          <w:ilvl w:val="0"/>
          <w:numId w:val="1"/>
        </w:numPr>
        <w:shd w:val="clear" w:color="auto" w:fill="FFFFFF"/>
        <w:spacing w:before="0" w:beforeAutospacing="0" w:after="150" w:afterAutospacing="0" w:line="560" w:lineRule="atLeast"/>
        <w:ind w:firstLine="643"/>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政府信息管理情况。为提升政府信息管理水平，我街道建立健全了信息管理制度，完善了信息发布流程，确保信息的准确性和时效性。实施信息审核机制，对拟公开信息进行多层次审查，做到信息来源明确、内容真实、手续完备。对于涉及国家秘密、商业秘密和个人隐私的信息，严格按照规定进行管理，确保信息安全。</w:t>
      </w:r>
    </w:p>
    <w:p>
      <w:pPr>
        <w:pStyle w:val="3"/>
        <w:widowControl/>
        <w:numPr>
          <w:ilvl w:val="0"/>
          <w:numId w:val="1"/>
        </w:numPr>
        <w:shd w:val="clear" w:color="auto" w:fill="FFFFFF"/>
        <w:spacing w:before="0" w:beforeAutospacing="0" w:after="150" w:afterAutospacing="0" w:line="560" w:lineRule="atLeast"/>
        <w:ind w:firstLine="643"/>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政府信息公开平台建设情况。一是加强政府门户网站内容推送，提高我街道政府信息公开度。二是完善</w:t>
      </w:r>
      <w:r>
        <w:rPr>
          <w:rFonts w:hint="eastAsia" w:ascii="仿宋_GB2312" w:hAnsi="仿宋_GB2312" w:eastAsia="仿宋_GB2312" w:cs="仿宋_GB2312"/>
          <w:kern w:val="2"/>
          <w:sz w:val="32"/>
          <w:szCs w:val="32"/>
        </w:rPr>
        <w:t>政务新媒体平台建设，以</w:t>
      </w:r>
      <w:r>
        <w:rPr>
          <w:rFonts w:hint="eastAsia" w:ascii="仿宋_GB2312" w:hAnsi="仿宋_GB2312" w:eastAsia="仿宋_GB2312" w:cs="仿宋_GB2312"/>
          <w:sz w:val="32"/>
          <w:szCs w:val="32"/>
          <w:shd w:val="clear" w:color="auto" w:fill="FFFFFF"/>
        </w:rPr>
        <w:t>微信公众号为载体，发布街道动态、便民通知、生活小常识等信息，加强街道与</w:t>
      </w:r>
      <w:r>
        <w:rPr>
          <w:rFonts w:hint="eastAsia" w:ascii="仿宋_GB2312" w:hAnsi="仿宋_GB2312" w:eastAsia="仿宋_GB2312" w:cs="仿宋_GB2312"/>
          <w:sz w:val="32"/>
          <w:szCs w:val="32"/>
          <w:shd w:val="clear" w:color="auto" w:fill="FFFFFF"/>
          <w:lang w:eastAsia="zh-CN"/>
        </w:rPr>
        <w:t>社会公众</w:t>
      </w:r>
      <w:r>
        <w:rPr>
          <w:rFonts w:hint="eastAsia" w:ascii="仿宋_GB2312" w:hAnsi="仿宋_GB2312" w:eastAsia="仿宋_GB2312" w:cs="仿宋_GB2312"/>
          <w:sz w:val="32"/>
          <w:szCs w:val="32"/>
          <w:shd w:val="clear" w:color="auto" w:fill="FFFFFF"/>
        </w:rPr>
        <w:t>联系。三是搭建智能AI交互系统，拓展群众获取信息渠道。</w:t>
      </w:r>
    </w:p>
    <w:p>
      <w:pPr>
        <w:pStyle w:val="3"/>
        <w:widowControl/>
        <w:shd w:val="clear" w:color="auto" w:fill="FFFFFF"/>
        <w:spacing w:before="0" w:beforeAutospacing="0" w:after="150" w:afterAutospacing="0" w:line="560" w:lineRule="atLeast"/>
        <w:ind w:firstLine="643"/>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教育培训情况。为提升政府信息公开工作水平，我街道积极参加上级组织的培训及分享会，本年共参加政务公开培训4次。会后及时传达培训精神，加强与街道各科室、各社区沟通联系，提高工作人员信息公开意识，强化工作能力。</w:t>
      </w:r>
    </w:p>
    <w:p>
      <w:pPr>
        <w:pStyle w:val="2"/>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监督保障情况。为实现政府信息公开工作的预期效果，我街道将政府信息公开列入全年工作任务考核目标，实现良性竞争机制。鼓励公众对政府信息公开工作提出意见和建议。重视第三方机构对政府信息公开工作测评结果，有针对性地实施调整。</w:t>
      </w:r>
    </w:p>
    <w:p>
      <w:pPr>
        <w:pStyle w:val="2"/>
        <w:ind w:firstLine="640" w:firstLineChars="200"/>
        <w:rPr>
          <w:rFonts w:hint="eastAsia" w:ascii="仿宋_GB2312" w:hAnsi="仿宋_GB2312" w:eastAsia="仿宋_GB2312" w:cs="仿宋_GB2312"/>
          <w:sz w:val="32"/>
          <w:szCs w:val="32"/>
          <w:shd w:val="clear" w:color="auto" w:fill="FFFFFF"/>
        </w:rPr>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rPr>
              <w:t>1281</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hAnsi="Times New Roman" w:eastAsia="宋体" w:cs="宋体"/>
                <w:sz w:val="24"/>
              </w:rPr>
            </w:pPr>
            <w:r>
              <w:rPr>
                <w:rFonts w:hint="eastAsia" w:ascii="宋体" w:hAnsi="Times New Roman" w:cs="宋体"/>
                <w:sz w:val="24"/>
              </w:rPr>
              <w:t>0</w:t>
            </w:r>
          </w:p>
        </w:tc>
      </w:tr>
    </w:tbl>
    <w:p>
      <w:pPr>
        <w:pStyle w:val="2"/>
        <w:widowControl/>
      </w:pPr>
    </w:p>
    <w:p>
      <w:pPr>
        <w:pStyle w:val="2"/>
        <w:widowControl/>
      </w:pPr>
    </w:p>
    <w:p>
      <w:pPr>
        <w:pStyle w:val="2"/>
        <w:widowControl/>
      </w:pPr>
    </w:p>
    <w:p>
      <w:pPr>
        <w:pStyle w:val="2"/>
        <w:widowControl/>
      </w:pPr>
    </w:p>
    <w:p>
      <w:pPr>
        <w:pStyle w:val="2"/>
        <w:widowControl/>
      </w:pPr>
    </w:p>
    <w:p>
      <w:pPr>
        <w:pStyle w:val="2"/>
        <w:widowControl/>
      </w:pPr>
    </w:p>
    <w:p>
      <w:pPr>
        <w:pStyle w:val="2"/>
        <w:widowControl/>
      </w:pPr>
    </w:p>
    <w:p>
      <w:pPr>
        <w:pStyle w:val="2"/>
        <w:widowControl/>
        <w:rPr>
          <w:rFonts w:hint="eastAsia"/>
        </w:rPr>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eastAsia="宋体"/>
              </w:rPr>
            </w:pPr>
            <w:r>
              <w:rPr>
                <w:rFonts w:hint="eastAsia" w:cs="Calibri"/>
                <w:kern w:val="0"/>
                <w:sz w:val="20"/>
                <w:szCs w:val="20"/>
                <w:lang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eastAsia="宋体"/>
              </w:rP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2</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tcPr>
          <w:p>
            <w:pPr>
              <w:widowControl/>
              <w:jc w:val="center"/>
              <w:rPr>
                <w:rFonts w:eastAsia="宋体"/>
              </w:rPr>
            </w:pPr>
            <w:r>
              <w:rPr>
                <w:rFonts w:hint="eastAsia" w:cs="Calibri"/>
                <w:kern w:val="0"/>
                <w:sz w:val="20"/>
                <w:szCs w:val="20"/>
                <w:lang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2</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eastAsia="宋体"/>
              </w:rPr>
            </w:pPr>
            <w:r>
              <w:rPr>
                <w:rFonts w:hint="eastAsia" w:cs="Calibri"/>
                <w:kern w:val="0"/>
                <w:sz w:val="20"/>
                <w:szCs w:val="20"/>
                <w:lang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tcPr>
          <w:p>
            <w:pPr>
              <w:widowControl/>
              <w:jc w:val="center"/>
              <w:rPr>
                <w:rFonts w:eastAsia="宋体"/>
              </w:rPr>
            </w:pPr>
            <w:r>
              <w:rPr>
                <w:rFonts w:hint="eastAsi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eastAsia="宋体"/>
              </w:rP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宋体" w:cs="宋体"/>
                <w:sz w:val="24"/>
              </w:rPr>
            </w:pPr>
            <w:r>
              <w:rPr>
                <w:rFonts w:hint="eastAsia" w:ascii="宋体" w:hAnsi="Times New Roman" w:cs="宋体"/>
                <w:sz w:val="24"/>
              </w:rPr>
              <w:t>0</w:t>
            </w:r>
          </w:p>
        </w:tc>
      </w:tr>
    </w:tbl>
    <w:p>
      <w:pPr>
        <w:widowControl/>
        <w:jc w:val="left"/>
      </w:pPr>
    </w:p>
    <w:p>
      <w:pPr>
        <w:widowControl/>
        <w:spacing w:line="560" w:lineRule="exact"/>
        <w:ind w:firstLine="672" w:firstLineChars="200"/>
        <w:jc w:val="left"/>
        <w:rPr>
          <w:rFonts w:hint="eastAsia" w:ascii="黑体" w:hAnsi="宋体" w:eastAsia="黑体" w:cs="宋体"/>
          <w:spacing w:val="8"/>
          <w:kern w:val="0"/>
          <w:sz w:val="32"/>
          <w:szCs w:val="32"/>
          <w:lang w:bidi="ar"/>
        </w:rPr>
      </w:pPr>
    </w:p>
    <w:p>
      <w:pPr>
        <w:widowControl/>
        <w:spacing w:line="560" w:lineRule="exact"/>
        <w:ind w:firstLine="672" w:firstLineChars="200"/>
        <w:jc w:val="left"/>
        <w:rPr>
          <w:rFonts w:hint="eastAsia" w:ascii="黑体" w:hAnsi="宋体" w:eastAsia="黑体" w:cs="宋体"/>
          <w:spacing w:val="8"/>
          <w:kern w:val="0"/>
          <w:sz w:val="32"/>
          <w:szCs w:val="32"/>
          <w:lang w:bidi="ar"/>
        </w:rPr>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val="en-US" w:eastAsia="zh-CN" w:bidi="ar"/>
        </w:rPr>
        <w:t>1.政府信息公开平台建设不完善，</w:t>
      </w:r>
      <w:r>
        <w:rPr>
          <w:rFonts w:hint="eastAsia" w:ascii="仿宋_GB2312" w:hAnsi="宋体" w:eastAsia="仿宋_GB2312" w:cs="宋体"/>
          <w:spacing w:val="8"/>
          <w:kern w:val="0"/>
          <w:sz w:val="32"/>
          <w:szCs w:val="32"/>
          <w:lang w:bidi="ar"/>
        </w:rPr>
        <w:t>智能AI交互系统利用程度不高。</w:t>
      </w:r>
    </w:p>
    <w:p>
      <w:pPr>
        <w:widowControl/>
        <w:spacing w:line="560" w:lineRule="exact"/>
        <w:ind w:firstLine="672" w:firstLineChars="200"/>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eastAsia="zh-CN" w:bidi="ar"/>
        </w:rPr>
        <w:t>改进情况：</w:t>
      </w:r>
      <w:r>
        <w:rPr>
          <w:rFonts w:hint="eastAsia" w:ascii="仿宋_GB2312" w:hAnsi="宋体" w:eastAsia="仿宋_GB2312" w:cs="宋体"/>
          <w:spacing w:val="8"/>
          <w:kern w:val="0"/>
          <w:sz w:val="32"/>
          <w:szCs w:val="32"/>
          <w:lang w:bidi="ar"/>
        </w:rPr>
        <w:t>针对这一问题，我街道举办政务开放日活动，邀请群众</w:t>
      </w:r>
      <w:r>
        <w:rPr>
          <w:rFonts w:hint="eastAsia" w:ascii="仿宋_GB2312" w:hAnsi="宋体" w:eastAsia="仿宋_GB2312" w:cs="宋体"/>
          <w:spacing w:val="8"/>
          <w:kern w:val="0"/>
          <w:sz w:val="32"/>
          <w:szCs w:val="32"/>
          <w:lang w:eastAsia="zh-CN" w:bidi="ar"/>
        </w:rPr>
        <w:t>及系统开发工程师同时参与，为双方直接沟通创造条件。根据活动中</w:t>
      </w:r>
      <w:r>
        <w:rPr>
          <w:rFonts w:hint="eastAsia" w:ascii="仿宋_GB2312" w:hAnsi="宋体" w:eastAsia="仿宋_GB2312" w:cs="宋体"/>
          <w:spacing w:val="8"/>
          <w:kern w:val="0"/>
          <w:sz w:val="32"/>
          <w:szCs w:val="32"/>
          <w:lang w:bidi="ar"/>
        </w:rPr>
        <w:t>收集的系统问题</w:t>
      </w:r>
      <w:r>
        <w:rPr>
          <w:rFonts w:hint="eastAsia" w:ascii="仿宋_GB2312" w:hAnsi="宋体" w:eastAsia="仿宋_GB2312" w:cs="宋体"/>
          <w:spacing w:val="8"/>
          <w:kern w:val="0"/>
          <w:sz w:val="32"/>
          <w:szCs w:val="32"/>
          <w:lang w:eastAsia="zh-CN" w:bidi="ar"/>
        </w:rPr>
        <w:t>和</w:t>
      </w:r>
      <w:r>
        <w:rPr>
          <w:rFonts w:hint="eastAsia" w:ascii="仿宋_GB2312" w:hAnsi="宋体" w:eastAsia="仿宋_GB2312" w:cs="宋体"/>
          <w:spacing w:val="8"/>
          <w:kern w:val="0"/>
          <w:sz w:val="32"/>
          <w:szCs w:val="32"/>
          <w:lang w:bidi="ar"/>
        </w:rPr>
        <w:t>群众需求</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结合政府信息公开实际情况，我街道对系统做出进一步优化，提升群众使用效率。</w:t>
      </w:r>
    </w:p>
    <w:p>
      <w:pPr>
        <w:pStyle w:val="2"/>
        <w:numPr>
          <w:ilvl w:val="0"/>
          <w:numId w:val="3"/>
        </w:numPr>
        <w:ind w:firstLine="672" w:firstLineChars="200"/>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新任业务人员水平有待提高。</w:t>
      </w:r>
    </w:p>
    <w:p>
      <w:pPr>
        <w:pStyle w:val="2"/>
        <w:numPr>
          <w:ilvl w:val="0"/>
          <w:numId w:val="0"/>
        </w:numPr>
        <w:ind w:firstLine="672" w:firstLineChars="200"/>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改进情况：责成业务人员积极参加政务公开工作培训，学习政务和数据局印发的政务公开相关文件，保障政府信息公开工作长期、持续开展。</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40" w:firstLineChars="200"/>
        <w:jc w:val="left"/>
        <w:rPr>
          <w:rFonts w:hint="eastAsia" w:ascii="仿宋_GB2312" w:hAnsi="宋体" w:eastAsia="仿宋_GB2312" w:cs="宋体"/>
          <w:color w:val="9BC2E6"/>
          <w:spacing w:val="8"/>
          <w:kern w:val="0"/>
          <w:sz w:val="32"/>
          <w:szCs w:val="32"/>
        </w:rPr>
      </w:pPr>
      <w:r>
        <w:rPr>
          <w:rFonts w:hint="eastAsia" w:ascii="仿宋_GB2312" w:hAnsi="仿宋_GB2312" w:eastAsia="仿宋_GB2312" w:cs="仿宋_GB2312"/>
          <w:color w:val="000000"/>
          <w:sz w:val="32"/>
          <w:szCs w:val="32"/>
          <w:lang w:val="en"/>
        </w:rPr>
        <w:t>我街道本年度发出收费通知的件数和总金额以及实际收取的总金额均为0。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p>
    <w:p>
      <w:pPr>
        <w:pStyle w:val="2"/>
        <w:spacing w:line="560" w:lineRule="exact"/>
      </w:pPr>
      <w:r>
        <w:rPr>
          <w:rFonts w:hint="eastAsia" w:ascii="微软雅黑" w:hAnsi="微软雅黑" w:eastAsia="微软雅黑" w:cs="宋体"/>
          <w:color w:val="404040"/>
          <w:kern w:val="0"/>
          <w:sz w:val="32"/>
          <w:szCs w:val="32"/>
        </w:rPr>
        <w:t xml:space="preserve"> </w:t>
      </w:r>
    </w:p>
    <w:p>
      <w:pPr>
        <w:pStyle w:val="2"/>
        <w:spacing w:line="560" w:lineRule="exact"/>
      </w:pPr>
    </w:p>
    <w:p>
      <w:pPr>
        <w:pStyle w:val="2"/>
        <w:spacing w:line="560" w:lineRule="exact"/>
      </w:pPr>
    </w:p>
    <w:p>
      <w:pPr>
        <w:spacing w:line="560" w:lineRule="exact"/>
        <w:rPr>
          <w:rFonts w:hint="eastAsia" w:ascii="黑体" w:hAnsi="黑体" w:eastAsia="黑体" w:cs="黑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5A4F524"/>
    <w:multiLevelType w:val="singleLevel"/>
    <w:tmpl w:val="65A4F524"/>
    <w:lvl w:ilvl="0" w:tentative="0">
      <w:start w:val="4"/>
      <w:numFmt w:val="decimal"/>
      <w:suff w:val="nothing"/>
      <w:lvlText w:val="%1."/>
      <w:lvlJc w:val="left"/>
    </w:lvl>
  </w:abstractNum>
  <w:abstractNum w:abstractNumId="2">
    <w:nsid w:val="67846CCD"/>
    <w:multiLevelType w:val="singleLevel"/>
    <w:tmpl w:val="67846CC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48"/>
    <w:rsid w:val="00260CCE"/>
    <w:rsid w:val="00277B6A"/>
    <w:rsid w:val="002D5F78"/>
    <w:rsid w:val="003B2B05"/>
    <w:rsid w:val="005014EC"/>
    <w:rsid w:val="006218D1"/>
    <w:rsid w:val="006C3D31"/>
    <w:rsid w:val="00723D00"/>
    <w:rsid w:val="007365D7"/>
    <w:rsid w:val="007B1043"/>
    <w:rsid w:val="007F74B2"/>
    <w:rsid w:val="00821EC0"/>
    <w:rsid w:val="00831418"/>
    <w:rsid w:val="00922CC4"/>
    <w:rsid w:val="009A69C8"/>
    <w:rsid w:val="009C23F5"/>
    <w:rsid w:val="00A70AA6"/>
    <w:rsid w:val="00B53048"/>
    <w:rsid w:val="00C55CAB"/>
    <w:rsid w:val="00D4650E"/>
    <w:rsid w:val="00D90C41"/>
    <w:rsid w:val="00DA09D5"/>
    <w:rsid w:val="02002D2D"/>
    <w:rsid w:val="02C12D3A"/>
    <w:rsid w:val="0ADE6FF9"/>
    <w:rsid w:val="0AE332BA"/>
    <w:rsid w:val="12DA1F9D"/>
    <w:rsid w:val="18525A03"/>
    <w:rsid w:val="1B626CD2"/>
    <w:rsid w:val="1DF42625"/>
    <w:rsid w:val="28EE5714"/>
    <w:rsid w:val="33EF3EA1"/>
    <w:rsid w:val="390341DD"/>
    <w:rsid w:val="3C6C3E7A"/>
    <w:rsid w:val="41782B5E"/>
    <w:rsid w:val="44EB0A86"/>
    <w:rsid w:val="47071F06"/>
    <w:rsid w:val="4A8C7B2F"/>
    <w:rsid w:val="54AA08F6"/>
    <w:rsid w:val="57C03999"/>
    <w:rsid w:val="592707CC"/>
    <w:rsid w:val="5D701AFE"/>
    <w:rsid w:val="675227FE"/>
    <w:rsid w:val="68B472B3"/>
    <w:rsid w:val="6B9F18AD"/>
    <w:rsid w:val="72F40AC6"/>
    <w:rsid w:val="7807268F"/>
    <w:rsid w:val="79DB5FB8"/>
    <w:rsid w:val="7B71079F"/>
    <w:rsid w:val="7C5D70F9"/>
    <w:rsid w:val="7D621F4F"/>
    <w:rsid w:val="7EED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Normal (Web)"/>
    <w:basedOn w:val="1"/>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367</Words>
  <Characters>2096</Characters>
  <Lines>17</Lines>
  <Paragraphs>4</Paragraphs>
  <ScaleCrop>false</ScaleCrop>
  <LinksUpToDate>false</LinksUpToDate>
  <CharactersWithSpaces>2459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2025-01-13T03:03:41Z</cp:lastPrinted>
  <dcterms:modified xsi:type="dcterms:W3CDTF">2025-01-13T03:16:20Z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