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lang w:eastAsia="zh-CN" w:bidi="ar"/>
        </w:rPr>
      </w:pPr>
      <w:r>
        <w:rPr>
          <w:rFonts w:hint="eastAsia" w:ascii="方正小标宋简体" w:hAnsi="方正小标宋简体" w:eastAsia="方正小标宋简体" w:cs="方正小标宋简体"/>
          <w:sz w:val="44"/>
          <w:szCs w:val="44"/>
          <w:lang w:eastAsia="zh-CN" w:bidi="ar"/>
        </w:rPr>
        <w:t>北京市大兴区长子营镇人民政府</w:t>
      </w:r>
    </w:p>
    <w:p>
      <w:pPr>
        <w:spacing w:line="56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202</w:t>
      </w:r>
      <w:r>
        <w:rPr>
          <w:rFonts w:hint="eastAsia" w:ascii="方正小标宋简体" w:hAnsi="方正小标宋简体" w:eastAsia="方正小标宋简体" w:cs="方正小标宋简体"/>
          <w:sz w:val="44"/>
          <w:szCs w:val="44"/>
          <w:lang w:val="en-US" w:eastAsia="zh-CN" w:bidi="ar"/>
        </w:rPr>
        <w:t>4</w:t>
      </w:r>
      <w:r>
        <w:rPr>
          <w:rFonts w:hint="eastAsia" w:ascii="方正小标宋简体" w:hAnsi="方正小标宋简体" w:eastAsia="方正小标宋简体" w:cs="方正小标宋简体"/>
          <w:sz w:val="44"/>
          <w:szCs w:val="44"/>
          <w:lang w:bidi="ar"/>
        </w:rPr>
        <w:t>年政府信息公开</w:t>
      </w:r>
      <w:bookmarkStart w:id="0" w:name="_GoBack"/>
      <w:bookmarkEnd w:id="0"/>
      <w:r>
        <w:rPr>
          <w:rFonts w:hint="eastAsia" w:ascii="方正小标宋简体" w:hAnsi="方正小标宋简体" w:eastAsia="方正小标宋简体" w:cs="方正小标宋简体"/>
          <w:sz w:val="44"/>
          <w:szCs w:val="44"/>
          <w:lang w:bidi="ar"/>
        </w:rPr>
        <w:t>工作年度报告</w:t>
      </w:r>
    </w:p>
    <w:p>
      <w:pPr>
        <w:spacing w:line="560" w:lineRule="exact"/>
        <w:jc w:val="center"/>
        <w:rPr>
          <w:sz w:val="44"/>
          <w:szCs w:val="44"/>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lang w:bidi="ar"/>
        </w:rPr>
        <w:t>　　</w:t>
      </w:r>
      <w:r>
        <w:rPr>
          <w:rFonts w:hint="eastAsia" w:ascii="微软雅黑" w:hAnsi="微软雅黑" w:eastAsia="微软雅黑" w:cs="宋体"/>
          <w:color w:val="404040"/>
          <w:kern w:val="0"/>
          <w:sz w:val="32"/>
          <w:szCs w:val="32"/>
          <w:lang w:bidi="ar"/>
        </w:rPr>
        <w:t xml:space="preserve">  </w:t>
      </w:r>
      <w:r>
        <w:rPr>
          <w:rFonts w:hint="eastAsia" w:ascii="仿宋_GB2312" w:hAnsi="宋体" w:eastAsia="仿宋_GB2312" w:cs="宋体"/>
          <w:spacing w:val="8"/>
          <w:kern w:val="0"/>
          <w:sz w:val="32"/>
          <w:szCs w:val="32"/>
          <w:lang w:bidi="ar"/>
        </w:rPr>
        <w:t>依据《中华人民共和国政府信息公开条例》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以下简称《政府信息公开条例》</w:t>
      </w:r>
      <w:r>
        <w:rPr>
          <w:rFonts w:hint="eastAsia" w:ascii="仿宋_GB2312" w:hAnsi="宋体" w:eastAsia="仿宋_GB2312" w:cs="宋体"/>
          <w:spacing w:val="8"/>
          <w:kern w:val="0"/>
          <w:sz w:val="32"/>
          <w:szCs w:val="32"/>
          <w:lang w:eastAsia="zh-CN" w:bidi="ar"/>
        </w:rPr>
        <w:t>）</w:t>
      </w:r>
      <w:r>
        <w:rPr>
          <w:rFonts w:hint="eastAsia" w:ascii="仿宋_GB2312" w:hAnsi="宋体" w:eastAsia="仿宋_GB2312" w:cs="宋体"/>
          <w:spacing w:val="8"/>
          <w:kern w:val="0"/>
          <w:sz w:val="32"/>
          <w:szCs w:val="32"/>
          <w:lang w:bidi="ar"/>
        </w:rPr>
        <w:t>第五十条规定，编制本报告。</w:t>
      </w:r>
    </w:p>
    <w:p>
      <w:pPr>
        <w:widowControl/>
        <w:spacing w:line="560" w:lineRule="exact"/>
        <w:ind w:firstLine="672" w:firstLineChars="200"/>
        <w:jc w:val="left"/>
        <w:rPr>
          <w:rFonts w:hint="eastAsia" w:ascii="黑体" w:hAnsi="宋体" w:eastAsia="黑体" w:cs="宋体"/>
          <w:spacing w:val="8"/>
          <w:kern w:val="0"/>
          <w:sz w:val="32"/>
          <w:szCs w:val="32"/>
        </w:rPr>
      </w:pPr>
      <w:r>
        <w:rPr>
          <w:rFonts w:hint="eastAsia" w:ascii="黑体" w:hAnsi="宋体" w:eastAsia="黑体" w:cs="宋体"/>
          <w:spacing w:val="8"/>
          <w:kern w:val="0"/>
          <w:sz w:val="32"/>
          <w:szCs w:val="32"/>
          <w:lang w:bidi="ar"/>
        </w:rPr>
        <w:t>一、总体情况</w:t>
      </w:r>
    </w:p>
    <w:p>
      <w:pPr>
        <w:widowControl/>
        <w:spacing w:line="560" w:lineRule="exact"/>
        <w:ind w:firstLine="675"/>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bidi="ar"/>
        </w:rPr>
        <w:t>（一）组织领导</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我镇领导高度重视政府信息公开工作，明确组织架构分工工作，</w:t>
      </w:r>
      <w:r>
        <w:rPr>
          <w:rFonts w:hint="eastAsia" w:ascii="仿宋_GB2312" w:hAnsi="宋体" w:eastAsia="仿宋_GB2312" w:cs="宋体"/>
          <w:spacing w:val="8"/>
          <w:kern w:val="0"/>
          <w:sz w:val="32"/>
          <w:szCs w:val="32"/>
          <w:lang w:eastAsia="zh-CN" w:bidi="ar"/>
        </w:rPr>
        <w:t>由党委副书记</w:t>
      </w:r>
      <w:r>
        <w:rPr>
          <w:rFonts w:hint="eastAsia" w:ascii="仿宋_GB2312" w:hAnsi="宋体" w:eastAsia="仿宋_GB2312" w:cs="宋体"/>
          <w:spacing w:val="8"/>
          <w:kern w:val="0"/>
          <w:sz w:val="32"/>
          <w:szCs w:val="32"/>
          <w:lang w:bidi="ar"/>
        </w:rPr>
        <w:t>担任政府信息公开工作主要责任人，各分管领导、责任科室严格恪守《政府信息公开条例》内容，相互协调、相互配合，在领导小组的带领下通过多次</w:t>
      </w:r>
      <w:r>
        <w:rPr>
          <w:rFonts w:hint="eastAsia" w:ascii="仿宋_GB2312" w:hAnsi="宋体" w:eastAsia="仿宋_GB2312" w:cs="宋体"/>
          <w:spacing w:val="8"/>
          <w:kern w:val="0"/>
          <w:sz w:val="32"/>
          <w:szCs w:val="32"/>
          <w:lang w:eastAsia="zh-CN" w:bidi="ar"/>
        </w:rPr>
        <w:t>召开</w:t>
      </w:r>
      <w:r>
        <w:rPr>
          <w:rFonts w:hint="eastAsia" w:ascii="仿宋_GB2312" w:hAnsi="宋体" w:eastAsia="仿宋_GB2312" w:cs="宋体"/>
          <w:spacing w:val="8"/>
          <w:kern w:val="0"/>
          <w:sz w:val="32"/>
          <w:szCs w:val="32"/>
          <w:lang w:bidi="ar"/>
        </w:rPr>
        <w:t>科室协调会议，确保政府信息公开的每一个环节以及信息的准确性。</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（二）主动公开</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2024年，我镇遵守《政府信息公开条例》中公开要求谨遵“应公开，尽公开”原则，通过政府门户网站累计公开政府信息199条，主要涉及执法公示、社会保障、城市管理综合执法等方面。</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（三）依申请公开</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2024年，我镇受理依申请公开政府信息共计26件，其中自然人申请共计16件，企业法人申请共计10件，16件无法提供申请公开的政府信息（信息不存在），4件给予信息公开，4件给予部分信息公开，1件其他处理，1件转至2025年答复且在正常答复期内（未超期），在受理过程中均准确引用法条、明确告知法律救济渠道，无超期答复情况出现。</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（四）政府信息管理</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严格落实政府信息公开制度，在信息公开前确保审核流程经业务主管领导、保密审查机构以及信息公开主管领导对信息内容及公开属性进行审核无误，对政策性文件的有效性及公开流程进行细致梳理在规定的时限要求及时公开各类政府信息，注重公开质量，公开要素齐全，公开内容准确，重点强化政策解读和决策过程公开。</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（五）政府信息公开平台建设</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全面拓展政府信息公开平台覆盖面，由</w:t>
      </w:r>
      <w:r>
        <w:rPr>
          <w:rFonts w:hint="eastAsia" w:ascii="仿宋_GB2312" w:hAnsi="宋体" w:eastAsia="仿宋_GB2312" w:cs="宋体"/>
          <w:spacing w:val="8"/>
          <w:kern w:val="0"/>
          <w:sz w:val="32"/>
          <w:szCs w:val="32"/>
          <w:lang w:eastAsia="zh-CN" w:bidi="ar"/>
        </w:rPr>
        <w:t>大兴区</w:t>
      </w:r>
      <w:r>
        <w:rPr>
          <w:rFonts w:hint="eastAsia" w:ascii="仿宋_GB2312" w:hAnsi="宋体" w:eastAsia="仿宋_GB2312" w:cs="宋体"/>
          <w:spacing w:val="8"/>
          <w:kern w:val="0"/>
          <w:sz w:val="32"/>
          <w:szCs w:val="32"/>
          <w:lang w:bidi="ar"/>
        </w:rPr>
        <w:t>政府门户网站、</w:t>
      </w:r>
      <w:r>
        <w:rPr>
          <w:rFonts w:hint="eastAsia" w:ascii="仿宋_GB2312" w:hAnsi="宋体" w:eastAsia="仿宋_GB2312" w:cs="宋体"/>
          <w:spacing w:val="8"/>
          <w:kern w:val="0"/>
          <w:sz w:val="32"/>
          <w:szCs w:val="32"/>
          <w:lang w:eastAsia="zh-CN" w:bidi="ar"/>
        </w:rPr>
        <w:t>长子营镇</w:t>
      </w:r>
      <w:r>
        <w:rPr>
          <w:rFonts w:hint="eastAsia" w:ascii="仿宋_GB2312" w:hAnsi="宋体" w:eastAsia="仿宋_GB2312" w:cs="宋体"/>
          <w:spacing w:val="8"/>
          <w:kern w:val="0"/>
          <w:sz w:val="32"/>
          <w:szCs w:val="32"/>
          <w:lang w:bidi="ar"/>
        </w:rPr>
        <w:t>政府官方微信公众号以及线下政务公开栏等途径，共同编织起一张全面、高效的政府信息公开网，2024年“</w:t>
      </w:r>
      <w:r>
        <w:rPr>
          <w:rFonts w:hint="eastAsia" w:ascii="仿宋_GB2312" w:hAnsi="宋体" w:eastAsia="仿宋_GB2312" w:cs="宋体"/>
          <w:spacing w:val="8"/>
          <w:kern w:val="0"/>
          <w:sz w:val="32"/>
          <w:szCs w:val="32"/>
          <w:lang w:eastAsia="zh-CN" w:bidi="ar"/>
        </w:rPr>
        <w:t>凤</w:t>
      </w:r>
      <w:r>
        <w:rPr>
          <w:rFonts w:hint="eastAsia" w:ascii="仿宋_GB2312" w:hAnsi="宋体" w:eastAsia="仿宋_GB2312" w:cs="宋体"/>
          <w:spacing w:val="8"/>
          <w:kern w:val="0"/>
          <w:sz w:val="32"/>
          <w:szCs w:val="32"/>
          <w:lang w:bidi="ar"/>
        </w:rPr>
        <w:t>河岸上长子营”公众号发布活动新闻、通知公告等信息共计 2389篇信息。</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（六）教育培训</w:t>
      </w:r>
    </w:p>
    <w:p>
      <w:pPr>
        <w:widowControl/>
        <w:spacing w:line="560" w:lineRule="exact"/>
        <w:ind w:firstLine="675"/>
        <w:jc w:val="left"/>
        <w:rPr>
          <w:rFonts w:hint="eastAsia" w:ascii="仿宋_GB2312" w:hAnsi="宋体" w:eastAsia="仿宋_GB2312" w:cs="宋体"/>
          <w:spacing w:val="8"/>
          <w:kern w:val="0"/>
          <w:sz w:val="32"/>
          <w:szCs w:val="32"/>
          <w:lang w:bidi="ar"/>
        </w:rPr>
      </w:pPr>
      <w:r>
        <w:rPr>
          <w:rFonts w:hint="eastAsia" w:ascii="仿宋_GB2312" w:hAnsi="宋体" w:eastAsia="仿宋_GB2312" w:cs="宋体"/>
          <w:spacing w:val="8"/>
          <w:kern w:val="0"/>
          <w:sz w:val="32"/>
          <w:szCs w:val="32"/>
          <w:lang w:bidi="ar"/>
        </w:rPr>
        <w:t>以“学条例、懂条例”为基石，成立专题学习小组，通过积极参与市区两级组织的政府信息公开培训，收集案例经验，转化为内部学习素材，由分管领导、主责科室以及委托律师开展政府信息公开学习会5次。</w:t>
      </w:r>
    </w:p>
    <w:p>
      <w:pPr>
        <w:widowControl/>
        <w:spacing w:line="560" w:lineRule="exact"/>
        <w:ind w:firstLine="675"/>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bidi="ar"/>
        </w:rPr>
        <w:t>（七）监督保障</w:t>
      </w:r>
    </w:p>
    <w:p>
      <w:pPr>
        <w:widowControl/>
        <w:spacing w:line="560" w:lineRule="exact"/>
        <w:ind w:firstLine="675"/>
        <w:jc w:val="left"/>
        <w:rPr>
          <w:rFonts w:hint="eastAsia" w:ascii="仿宋_GB2312" w:hAnsi="宋体" w:eastAsia="仿宋_GB2312" w:cs="宋体"/>
          <w:spacing w:val="8"/>
          <w:kern w:val="0"/>
          <w:sz w:val="32"/>
          <w:szCs w:val="32"/>
        </w:rPr>
      </w:pPr>
      <w:r>
        <w:rPr>
          <w:rFonts w:hint="eastAsia" w:ascii="仿宋_GB2312" w:hAnsi="宋体" w:eastAsia="仿宋_GB2312" w:cs="宋体"/>
          <w:spacing w:val="8"/>
          <w:kern w:val="0"/>
          <w:sz w:val="32"/>
          <w:szCs w:val="32"/>
          <w:lang w:bidi="ar"/>
        </w:rPr>
        <w:t>我镇积极接受第三方检查机构反馈的“好差评”检查报告，对存在的问题第一时间进行整改，虚心接受上级单位、测评机构以及社会群众提出的意见与建议，由</w:t>
      </w:r>
      <w:r>
        <w:rPr>
          <w:rFonts w:hint="eastAsia" w:ascii="仿宋_GB2312" w:hAnsi="宋体" w:eastAsia="仿宋_GB2312" w:cs="宋体"/>
          <w:spacing w:val="8"/>
          <w:kern w:val="0"/>
          <w:sz w:val="32"/>
          <w:szCs w:val="32"/>
          <w:lang w:eastAsia="zh-CN" w:bidi="ar"/>
        </w:rPr>
        <w:t>党委副书记</w:t>
      </w:r>
      <w:r>
        <w:rPr>
          <w:rFonts w:hint="eastAsia" w:ascii="仿宋_GB2312" w:hAnsi="宋体" w:eastAsia="仿宋_GB2312" w:cs="宋体"/>
          <w:spacing w:val="8"/>
          <w:kern w:val="0"/>
          <w:sz w:val="32"/>
          <w:szCs w:val="32"/>
          <w:lang w:bidi="ar"/>
        </w:rPr>
        <w:t>作为第一责任领导监督相关工作，主责科室定期汇报政务公开情况，每一环节追责到人，不断提升政务公开工作人员信念感。</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4"/>
        <w:widowControl/>
      </w:pPr>
    </w:p>
    <w:p>
      <w:pPr>
        <w:pStyle w:val="4"/>
        <w:widowControl/>
      </w:pPr>
    </w:p>
    <w:tbl>
      <w:tblPr>
        <w:tblStyle w:val="6"/>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6</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default"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1189</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widowControl/>
              <w:jc w:val="left"/>
              <w:rPr>
                <w:rFonts w:hint="eastAsia" w:eastAsia="宋体"/>
                <w:lang w:val="en-US" w:eastAsia="zh-CN"/>
              </w:rPr>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hAnsi="Times New Roman" w:eastAsia="宋体" w:cs="宋体"/>
                <w:sz w:val="24"/>
                <w:lang w:val="en-US" w:eastAsia="zh-CN"/>
              </w:rPr>
            </w:pPr>
            <w:r>
              <w:rPr>
                <w:rFonts w:hint="eastAsia" w:ascii="宋体" w:cs="宋体"/>
                <w:sz w:val="24"/>
                <w:lang w:val="en-US" w:eastAsia="zh-CN"/>
              </w:rPr>
              <w:t>0</w:t>
            </w:r>
          </w:p>
        </w:tc>
      </w:tr>
    </w:tbl>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pStyle w:val="4"/>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noWrap w:val="0"/>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noWrap w:val="0"/>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noWrap w:val="0"/>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16</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hint="eastAsia" w:cs="Calibri"/>
                <w:kern w:val="0"/>
                <w:sz w:val="20"/>
                <w:szCs w:val="20"/>
                <w:lang w:val="en-US" w:eastAsia="zh-CN" w:bidi="ar"/>
              </w:rPr>
              <w:t>0</w:t>
            </w:r>
            <w:r>
              <w:rPr>
                <w:rFonts w:cs="Calibri"/>
                <w:kern w:val="0"/>
                <w:sz w:val="20"/>
                <w:szCs w:val="20"/>
                <w:lang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26</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3</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8"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6</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10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top"/>
          </w:tcPr>
          <w:p>
            <w:pPr>
              <w:widowControl/>
              <w:jc w:val="center"/>
            </w:pPr>
            <w:r>
              <w:rPr>
                <w:rFonts w:hint="eastAsia" w:cs="Calibri"/>
                <w:kern w:val="0"/>
                <w:sz w:val="20"/>
                <w:szCs w:val="20"/>
                <w:lang w:val="en-US" w:eastAsia="zh-CN" w:bidi="ar"/>
              </w:rPr>
              <w:t>16</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noWrap w:val="0"/>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eastAsia" w:eastAsia="宋体"/>
                <w:lang w:val="en-US" w:eastAsia="zh-CN"/>
              </w:rPr>
            </w:pPr>
            <w:r>
              <w:rPr>
                <w:rFonts w:cs="Calibri"/>
                <w:kern w:val="0"/>
                <w:sz w:val="20"/>
                <w:szCs w:val="20"/>
                <w:lang w:bidi="ar"/>
              </w:rPr>
              <w:t> </w:t>
            </w:r>
            <w:r>
              <w:rPr>
                <w:rFonts w:hint="eastAsia" w:cs="Calibri"/>
                <w:kern w:val="0"/>
                <w:sz w:val="20"/>
                <w:szCs w:val="20"/>
                <w:lang w:val="en-US" w:eastAsia="zh-CN" w:bidi="ar"/>
              </w:rPr>
              <w:t>1</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noWrap w:val="0"/>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noWrap w:val="0"/>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cs="Calibri"/>
                <w:kern w:val="0"/>
                <w:sz w:val="20"/>
                <w:szCs w:val="20"/>
                <w:lang w:bidi="ar"/>
              </w:rPr>
              <w:t> </w:t>
            </w:r>
            <w:r>
              <w:rPr>
                <w:rFonts w:hint="eastAsia" w:cs="Calibri"/>
                <w:kern w:val="0"/>
                <w:sz w:val="20"/>
                <w:szCs w:val="20"/>
                <w:lang w:val="en-US" w:eastAsia="zh-CN" w:bidi="ar"/>
              </w:rPr>
              <w:t>14</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pPr>
            <w:r>
              <w:rPr>
                <w:rFonts w:cs="Calibri"/>
                <w:kern w:val="0"/>
                <w:sz w:val="20"/>
                <w:szCs w:val="20"/>
                <w:lang w:bidi="ar"/>
              </w:rPr>
              <w:t> </w:t>
            </w:r>
            <w:r>
              <w:rPr>
                <w:rFonts w:hint="eastAsia"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noWrap w:val="0"/>
            <w:tcMar>
              <w:left w:w="57" w:type="dxa"/>
              <w:right w:w="57" w:type="dxa"/>
            </w:tcMar>
            <w:vAlign w:val="center"/>
          </w:tcPr>
          <w:p>
            <w:pPr>
              <w:widowControl/>
              <w:jc w:val="center"/>
              <w:rPr>
                <w:rFonts w:hint="default" w:eastAsia="宋体"/>
                <w:lang w:val="en-US" w:eastAsia="zh-CN"/>
              </w:rPr>
            </w:pPr>
            <w:r>
              <w:rPr>
                <w:rFonts w:hint="eastAsia" w:cs="Calibri"/>
                <w:kern w:val="0"/>
                <w:sz w:val="20"/>
                <w:szCs w:val="20"/>
                <w:lang w:val="en-US" w:eastAsia="zh-CN" w:bidi="ar"/>
              </w:rPr>
              <w:t>24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noWrap w:val="0"/>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eastAsia" w:ascii="宋体" w:hAnsi="Times New Roman" w:eastAsia="宋体" w:cs="宋体"/>
                <w:sz w:val="24"/>
                <w:lang w:val="en-US" w:eastAsia="zh-CN"/>
              </w:rPr>
            </w:pPr>
            <w:r>
              <w:rPr>
                <w:rFonts w:hint="eastAsia" w:ascii="宋体" w:cs="宋体"/>
                <w:sz w:val="24"/>
                <w:lang w:val="en-US" w:eastAsia="zh-CN"/>
              </w:rPr>
              <w:t>2</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widowControl/>
              <w:jc w:val="center"/>
              <w:rPr>
                <w:rFonts w:hint="eastAsia" w:ascii="宋体" w:hAnsi="Times New Roman" w:cs="宋体"/>
                <w:sz w:val="24"/>
              </w:rPr>
            </w:pPr>
            <w:r>
              <w:rPr>
                <w:rFonts w:hint="eastAsia"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noWrap w:val="0"/>
            <w:vAlign w:val="center"/>
          </w:tcPr>
          <w:p>
            <w:pPr>
              <w:jc w:val="center"/>
              <w:rPr>
                <w:rFonts w:hint="default" w:ascii="宋体" w:hAnsi="Times New Roman" w:eastAsia="宋体" w:cs="宋体"/>
                <w:sz w:val="24"/>
                <w:lang w:val="en-US" w:eastAsia="zh-CN"/>
              </w:rPr>
            </w:pPr>
            <w:r>
              <w:rPr>
                <w:rFonts w:hint="eastAsia" w:ascii="宋体" w:cs="宋体"/>
                <w:sz w:val="24"/>
                <w:lang w:val="en-US" w:eastAsia="zh-CN"/>
              </w:rPr>
              <w:t>2</w:t>
            </w:r>
          </w:p>
        </w:tc>
      </w:tr>
    </w:tbl>
    <w:p>
      <w:pPr>
        <w:pStyle w:val="4"/>
        <w:widowControl/>
        <w:ind w:left="420" w:leftChars="200"/>
      </w:pPr>
    </w:p>
    <w:p>
      <w:pPr>
        <w:pStyle w:val="4"/>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6"/>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PrEx>
        <w:trPr>
          <w:trHeight w:val="672" w:hRule="atLeast"/>
          <w:jc w:val="center"/>
        </w:trPr>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1</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pPr>
            <w:r>
              <w:rPr>
                <w:rFonts w:hint="eastAsia" w:ascii="黑体" w:hAnsi="宋体" w:eastAsia="黑体" w:cs="黑体"/>
                <w:kern w:val="0"/>
                <w:sz w:val="20"/>
                <w:szCs w:val="20"/>
                <w:lang w:val="en-US" w:eastAsia="zh-CN" w:bidi="ar"/>
              </w:rPr>
              <w:t>2</w:t>
            </w:r>
            <w:r>
              <w:rPr>
                <w:rFonts w:hint="eastAsia" w:ascii="黑体" w:hAnsi="宋体" w:eastAsia="黑体" w:cs="黑体"/>
                <w:kern w:val="0"/>
                <w:sz w:val="20"/>
                <w:szCs w:val="20"/>
                <w:lang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rFonts w:hint="eastAsia" w:eastAsia="黑体"/>
                <w:lang w:val="en-US" w:eastAsia="zh-CN"/>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3</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widowControl/>
              <w:jc w:val="center"/>
              <w:rPr>
                <w:b/>
                <w:bCs/>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hAnsi="Times New Roman" w:cs="宋体"/>
                <w:b/>
                <w:bCs/>
                <w:sz w:val="24"/>
              </w:rPr>
            </w:pPr>
            <w:r>
              <w:rPr>
                <w:rFonts w:hint="eastAsia" w:ascii="黑体" w:hAnsi="宋体" w:eastAsia="黑体" w:cs="黑体"/>
                <w:kern w:val="0"/>
                <w:sz w:val="20"/>
                <w:szCs w:val="20"/>
                <w:lang w:bidi="ar"/>
              </w:rPr>
              <w:t> </w:t>
            </w:r>
            <w:r>
              <w:rPr>
                <w:rFonts w:hint="eastAsia" w:ascii="黑体" w:hAnsi="宋体" w:eastAsia="黑体" w:cs="黑体"/>
                <w:kern w:val="0"/>
                <w:sz w:val="20"/>
                <w:szCs w:val="20"/>
                <w:lang w:val="en-US" w:eastAsia="zh-CN" w:bidi="ar"/>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widowControl/>
        <w:spacing w:line="560" w:lineRule="exact"/>
        <w:ind w:firstLine="672" w:firstLineChars="200"/>
        <w:jc w:val="left"/>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一</w:t>
      </w:r>
      <w:r>
        <w:rPr>
          <w:rFonts w:hint="eastAsia" w:ascii="仿宋_GB2312" w:hAnsi="宋体" w:eastAsia="仿宋_GB2312" w:cs="宋体"/>
          <w:spacing w:val="8"/>
          <w:kern w:val="0"/>
          <w:sz w:val="32"/>
          <w:szCs w:val="32"/>
          <w:lang w:bidi="ar"/>
        </w:rPr>
        <w:t>）</w:t>
      </w:r>
      <w:r>
        <w:rPr>
          <w:rFonts w:hint="eastAsia" w:ascii="仿宋_GB2312" w:hAnsi="宋体" w:eastAsia="仿宋_GB2312" w:cs="宋体"/>
          <w:spacing w:val="8"/>
          <w:kern w:val="0"/>
          <w:sz w:val="32"/>
          <w:szCs w:val="32"/>
          <w:lang w:eastAsia="zh-CN" w:bidi="ar"/>
        </w:rPr>
        <w:t>存在的主要问题</w:t>
      </w:r>
    </w:p>
    <w:p>
      <w:pPr>
        <w:pStyle w:val="2"/>
        <w:ind w:firstLine="672" w:firstLineChars="200"/>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我镇在政府信息公开过程中，存在</w:t>
      </w:r>
      <w:r>
        <w:rPr>
          <w:rFonts w:hint="eastAsia" w:ascii="仿宋_GB2312" w:hAnsi="宋体" w:cs="宋体"/>
          <w:spacing w:val="8"/>
          <w:kern w:val="0"/>
          <w:sz w:val="32"/>
          <w:szCs w:val="32"/>
          <w:lang w:val="en-US" w:eastAsia="zh-CN" w:bidi="ar"/>
        </w:rPr>
        <w:t>政府信息公开监督保障机制落实不够顺畅问题</w:t>
      </w:r>
      <w:r>
        <w:rPr>
          <w:rFonts w:hint="eastAsia" w:ascii="仿宋_GB2312" w:hAnsi="宋体" w:eastAsia="仿宋_GB2312" w:cs="宋体"/>
          <w:spacing w:val="8"/>
          <w:kern w:val="0"/>
          <w:sz w:val="32"/>
          <w:szCs w:val="32"/>
          <w:lang w:val="en-US" w:eastAsia="zh-CN" w:bidi="ar"/>
        </w:rPr>
        <w:t>。</w:t>
      </w:r>
    </w:p>
    <w:p>
      <w:pPr>
        <w:numPr>
          <w:ilvl w:val="0"/>
          <w:numId w:val="2"/>
        </w:numPr>
        <w:ind w:firstLine="672" w:firstLineChars="200"/>
        <w:rPr>
          <w:rFonts w:hint="eastAsia" w:ascii="仿宋_GB2312" w:hAnsi="宋体" w:eastAsia="仿宋_GB2312" w:cs="宋体"/>
          <w:spacing w:val="8"/>
          <w:kern w:val="0"/>
          <w:sz w:val="32"/>
          <w:szCs w:val="32"/>
          <w:lang w:eastAsia="zh-CN" w:bidi="ar"/>
        </w:rPr>
      </w:pPr>
      <w:r>
        <w:rPr>
          <w:rFonts w:hint="eastAsia" w:ascii="仿宋_GB2312" w:hAnsi="宋体" w:eastAsia="仿宋_GB2312" w:cs="宋体"/>
          <w:spacing w:val="8"/>
          <w:kern w:val="0"/>
          <w:sz w:val="32"/>
          <w:szCs w:val="32"/>
          <w:lang w:eastAsia="zh-CN" w:bidi="ar"/>
        </w:rPr>
        <w:t>改进情况</w:t>
      </w:r>
    </w:p>
    <w:p>
      <w:pPr>
        <w:pStyle w:val="2"/>
        <w:ind w:firstLine="672" w:firstLineChars="200"/>
        <w:rPr>
          <w:rFonts w:hint="eastAsia" w:ascii="仿宋_GB2312" w:hAnsi="宋体" w:eastAsia="仿宋_GB2312" w:cs="宋体"/>
          <w:spacing w:val="8"/>
          <w:kern w:val="0"/>
          <w:sz w:val="32"/>
          <w:szCs w:val="32"/>
          <w:lang w:val="en-US" w:eastAsia="zh-CN" w:bidi="ar"/>
        </w:rPr>
      </w:pPr>
      <w:r>
        <w:rPr>
          <w:rFonts w:hint="eastAsia" w:ascii="仿宋_GB2312" w:hAnsi="宋体" w:cs="宋体"/>
          <w:spacing w:val="8"/>
          <w:kern w:val="0"/>
          <w:sz w:val="32"/>
          <w:szCs w:val="32"/>
          <w:lang w:val="en-US" w:eastAsia="zh-CN" w:bidi="ar"/>
        </w:rPr>
        <w:t>严格落实《政府信息公开监督保障机制》</w:t>
      </w:r>
      <w:r>
        <w:rPr>
          <w:rFonts w:hint="eastAsia" w:ascii="仿宋_GB2312" w:hAnsi="宋体" w:eastAsia="仿宋_GB2312" w:cs="宋体"/>
          <w:spacing w:val="8"/>
          <w:kern w:val="0"/>
          <w:sz w:val="32"/>
          <w:szCs w:val="32"/>
          <w:lang w:val="en-US" w:eastAsia="zh-CN" w:bidi="ar"/>
        </w:rPr>
        <w:t>，通过优化信息公开流程、深化各科室部门协作</w:t>
      </w:r>
      <w:r>
        <w:rPr>
          <w:rFonts w:hint="eastAsia" w:ascii="仿宋_GB2312" w:hAnsi="宋体" w:cs="宋体"/>
          <w:spacing w:val="8"/>
          <w:kern w:val="0"/>
          <w:sz w:val="32"/>
          <w:szCs w:val="32"/>
          <w:lang w:val="en-US" w:eastAsia="zh-CN" w:bidi="ar"/>
        </w:rPr>
        <w:t>，全方位提升各科室对政府信息公开工作的重视度</w:t>
      </w:r>
      <w:r>
        <w:rPr>
          <w:rFonts w:hint="eastAsia" w:ascii="仿宋_GB2312" w:hAnsi="宋体" w:eastAsia="仿宋_GB2312" w:cs="宋体"/>
          <w:spacing w:val="8"/>
          <w:kern w:val="0"/>
          <w:sz w:val="32"/>
          <w:szCs w:val="32"/>
          <w:lang w:val="en-US" w:eastAsia="zh-CN" w:bidi="ar"/>
        </w:rPr>
        <w:t>，进一步提升信息公开清晰度、时效性，</w:t>
      </w:r>
      <w:r>
        <w:rPr>
          <w:rFonts w:hint="eastAsia" w:ascii="仿宋_GB2312" w:hAnsi="宋体" w:cs="宋体"/>
          <w:spacing w:val="8"/>
          <w:kern w:val="0"/>
          <w:sz w:val="32"/>
          <w:szCs w:val="32"/>
          <w:lang w:val="en-US" w:eastAsia="zh-CN" w:bidi="ar"/>
        </w:rPr>
        <w:t>确保信息公开工作高效推进</w:t>
      </w:r>
      <w:r>
        <w:rPr>
          <w:rFonts w:hint="eastAsia" w:ascii="仿宋_GB2312" w:hAnsi="宋体" w:eastAsia="仿宋_GB2312" w:cs="宋体"/>
          <w:spacing w:val="8"/>
          <w:kern w:val="0"/>
          <w:sz w:val="32"/>
          <w:szCs w:val="32"/>
          <w:lang w:val="en-US" w:eastAsia="zh-CN" w:bidi="ar"/>
        </w:rPr>
        <w:t>。</w:t>
      </w:r>
    </w:p>
    <w:p>
      <w:pPr>
        <w:widowControl/>
        <w:spacing w:line="560" w:lineRule="exact"/>
        <w:ind w:firstLine="675"/>
        <w:jc w:val="left"/>
        <w:rPr>
          <w:rFonts w:hint="eastAsia" w:ascii="宋体" w:hAnsi="宋体" w:cs="宋体"/>
          <w:spacing w:val="8"/>
          <w:kern w:val="0"/>
          <w:sz w:val="32"/>
          <w:szCs w:val="32"/>
        </w:rPr>
      </w:pPr>
      <w:r>
        <w:rPr>
          <w:rFonts w:hint="eastAsia" w:ascii="黑体" w:hAnsi="宋体" w:eastAsia="黑体" w:cs="宋体"/>
          <w:spacing w:val="8"/>
          <w:kern w:val="0"/>
          <w:sz w:val="32"/>
          <w:szCs w:val="32"/>
          <w:lang w:bidi="ar"/>
        </w:rPr>
        <w:t>六、其他需要报告的事项</w:t>
      </w:r>
    </w:p>
    <w:p>
      <w:pPr>
        <w:widowControl/>
        <w:spacing w:line="560" w:lineRule="exact"/>
        <w:jc w:val="left"/>
        <w:rPr>
          <w:rFonts w:hint="eastAsia" w:ascii="仿宋_GB2312" w:hAnsi="宋体" w:eastAsia="仿宋_GB2312" w:cs="宋体"/>
          <w:spacing w:val="8"/>
          <w:kern w:val="0"/>
          <w:sz w:val="32"/>
          <w:szCs w:val="32"/>
          <w:lang w:val="en-US" w:eastAsia="zh-CN" w:bidi="ar"/>
        </w:rPr>
      </w:pPr>
      <w:r>
        <w:rPr>
          <w:rFonts w:hint="eastAsia" w:ascii="宋体" w:hAnsi="宋体" w:cs="宋体"/>
          <w:spacing w:val="8"/>
          <w:kern w:val="0"/>
          <w:sz w:val="32"/>
          <w:szCs w:val="32"/>
          <w:lang w:bidi="ar"/>
        </w:rPr>
        <w:t>　</w:t>
      </w:r>
      <w:r>
        <w:rPr>
          <w:rFonts w:hint="eastAsia" w:ascii="仿宋_GB2312" w:hAnsi="宋体" w:eastAsia="仿宋_GB2312" w:cs="宋体"/>
          <w:spacing w:val="8"/>
          <w:kern w:val="0"/>
          <w:sz w:val="32"/>
          <w:szCs w:val="32"/>
          <w:lang w:val="en-US" w:eastAsia="zh-CN" w:bidi="ar"/>
        </w:rPr>
        <w:t>　长子营镇2024年度发出收费通知的件数和总金额以及实际收取的总金额均为0。</w:t>
      </w:r>
    </w:p>
    <w:p>
      <w:pPr>
        <w:pStyle w:val="4"/>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CB693D2F"/>
    <w:multiLevelType w:val="singleLevel"/>
    <w:tmpl w:val="CB693D2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OGZhY2UwMmJmZmJmMTJlYWJjNmI2NjI2MWU3NzAifQ=="/>
  </w:docVars>
  <w:rsids>
    <w:rsidRoot w:val="00000000"/>
    <w:rsid w:val="078443B5"/>
    <w:rsid w:val="08CB04FB"/>
    <w:rsid w:val="0A9469B8"/>
    <w:rsid w:val="0ED07A15"/>
    <w:rsid w:val="116C2CA3"/>
    <w:rsid w:val="16F31F50"/>
    <w:rsid w:val="1FF05635"/>
    <w:rsid w:val="24B42C46"/>
    <w:rsid w:val="24F913DB"/>
    <w:rsid w:val="28675348"/>
    <w:rsid w:val="29E5555F"/>
    <w:rsid w:val="2B6B7E4B"/>
    <w:rsid w:val="34CE753C"/>
    <w:rsid w:val="35674121"/>
    <w:rsid w:val="37705203"/>
    <w:rsid w:val="39405540"/>
    <w:rsid w:val="3D2515ED"/>
    <w:rsid w:val="41E87DA3"/>
    <w:rsid w:val="48410F19"/>
    <w:rsid w:val="4C1827E3"/>
    <w:rsid w:val="4CCE28C0"/>
    <w:rsid w:val="4ECB3730"/>
    <w:rsid w:val="4F1F09CE"/>
    <w:rsid w:val="521A11BF"/>
    <w:rsid w:val="527A4A5C"/>
    <w:rsid w:val="53516CBE"/>
    <w:rsid w:val="5B58179A"/>
    <w:rsid w:val="5DF55733"/>
    <w:rsid w:val="5F5D7619"/>
    <w:rsid w:val="627E48A2"/>
    <w:rsid w:val="634B3F68"/>
    <w:rsid w:val="67FF52AE"/>
    <w:rsid w:val="6A0900C8"/>
    <w:rsid w:val="6A547D01"/>
    <w:rsid w:val="6C807B96"/>
    <w:rsid w:val="6F5E3684"/>
    <w:rsid w:val="741A1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unhideWhenUsed/>
    <w:qFormat/>
    <w:uiPriority w:val="99"/>
    <w:rPr>
      <w:rFonts w:eastAsia="仿宋_GB2312"/>
      <w:sz w:val="32"/>
    </w:r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character" w:customStyle="1" w:styleId="8">
    <w:name w:val="fontstyle01"/>
    <w:basedOn w:val="7"/>
    <w:qFormat/>
    <w:uiPriority w:val="0"/>
    <w:rPr>
      <w:rFonts w:ascii="仿宋_GB2312" w:hAnsi="仿宋_GB2312" w:eastAsia="仿宋_GB2312" w:cs="仿宋_GB2312"/>
      <w:color w:val="00000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2067</Words>
  <Characters>2123</Characters>
  <Lines>0</Lines>
  <Paragraphs>0</Paragraphs>
  <TotalTime>1</TotalTime>
  <ScaleCrop>false</ScaleCrop>
  <LinksUpToDate>false</LinksUpToDate>
  <CharactersWithSpaces>2330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shen</cp:lastModifiedBy>
  <dcterms:modified xsi:type="dcterms:W3CDTF">2025-01-17T06:36:33Z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E764095646CF427F908F61FCA1794DA7</vt:lpwstr>
  </property>
  <property fmtid="{D5CDD505-2E9C-101B-9397-08002B2CF9AE}" pid="4" name="KSOTemplateDocerSaveRecord">
    <vt:lpwstr>eyJoZGlkIjoiZWY2YWU3YjkxZDZlNzYxN2FjOWY1YmNiZmQ2YjcxOTUifQ==</vt:lpwstr>
  </property>
</Properties>
</file>