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北京市大兴区人民政府</w:t>
      </w:r>
    </w:p>
    <w:p>
      <w:pPr>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2024年政府信息公开工作年度报告</w:t>
      </w:r>
    </w:p>
    <w:p>
      <w:pPr>
        <w:widowControl/>
        <w:spacing w:line="560" w:lineRule="exact"/>
        <w:ind w:firstLine="672" w:firstLineChars="200"/>
        <w:jc w:val="left"/>
        <w:rPr>
          <w:rFonts w:hint="eastAsia" w:ascii="仿宋_GB2312" w:hAnsi="宋体" w:eastAsia="仿宋_GB2312" w:cs="宋体"/>
          <w:spacing w:val="8"/>
          <w:kern w:val="0"/>
          <w:sz w:val="32"/>
          <w:szCs w:val="32"/>
        </w:rPr>
      </w:pP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4"/>
        <w:adjustRightInd w:val="0"/>
        <w:snapToGrid w:val="0"/>
        <w:spacing w:before="0" w:beforeAutospacing="0" w:after="0" w:afterAutospacing="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（一）组织领导建设情况。</w:t>
      </w:r>
      <w:r>
        <w:rPr>
          <w:rFonts w:hint="eastAsia" w:ascii="仿宋_GB2312" w:eastAsia="仿宋_GB2312" w:cs="Arial"/>
          <w:sz w:val="32"/>
          <w:szCs w:val="32"/>
        </w:rPr>
        <w:t>以习近平新时代中国特色社会主义思想为指导，坚决贯彻落实市委市政府决策部署，将政府信息公开工作作为推进依法行政、建设透明型、服务型政府的重要抓手，由大兴区政务服务和数据管理局负责</w:t>
      </w:r>
      <w:r>
        <w:rPr>
          <w:rFonts w:hint="eastAsia" w:ascii="仿宋_GB2312" w:hAnsi="仿宋_GB2312" w:eastAsia="仿宋_GB2312" w:cs="仿宋_GB2312"/>
          <w:sz w:val="32"/>
          <w:szCs w:val="32"/>
        </w:rPr>
        <w:t>统筹、指导、协调、推进、监督大兴区政府信息公开整体工作，全面推动政府信息公开不断深化，为提升政府透明度和公信力提供了有力保障。</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（二）主动公开情况。</w:t>
      </w:r>
      <w:r>
        <w:rPr>
          <w:rFonts w:hint="eastAsia" w:ascii="仿宋_GB2312" w:hAnsi="仿宋_GB2312" w:eastAsia="仿宋_GB2312" w:cs="仿宋_GB2312"/>
          <w:kern w:val="0"/>
          <w:sz w:val="32"/>
          <w:szCs w:val="32"/>
          <w:lang w:val="en-US" w:eastAsia="zh-CN" w:bidi="ar-SA"/>
        </w:rPr>
        <w:t>聚焦精准服务，深化主动公开。一</w:t>
      </w:r>
      <w:r>
        <w:rPr>
          <w:rFonts w:hint="eastAsia" w:ascii="仿宋_GB2312" w:eastAsia="仿宋_GB2312" w:cs="Arial"/>
          <w:sz w:val="32"/>
          <w:szCs w:val="32"/>
        </w:rPr>
        <w:t>是制发年度政务公开工作要点，明确具体任务，划定完成时限，确保全年工作顺利完成。二是加强主动公开的深度与广度，全年主动公开政府信息1.7万余条，37份政策性文件草案均向社会公开征集意见建议，政策性文件制发全部配套解读文件，为企业群众提供看得懂、用得上的政策解读服务。</w:t>
      </w:r>
    </w:p>
    <w:p>
      <w:pPr>
        <w:adjustRightInd w:val="0"/>
        <w:snapToGrid w:val="0"/>
        <w:spacing w:line="560" w:lineRule="exact"/>
        <w:ind w:firstLine="640" w:firstLineChars="200"/>
        <w:rPr>
          <w:rFonts w:hint="eastAsia" w:ascii="仿宋_GB2312" w:hAnsi="仿宋_GB2312" w:eastAsia="仿宋_GB2312" w:cs="仿宋_GB2312"/>
          <w:spacing w:val="8"/>
          <w:kern w:val="0"/>
          <w:sz w:val="32"/>
          <w:szCs w:val="32"/>
        </w:rPr>
      </w:pPr>
      <w:r>
        <w:rPr>
          <w:rFonts w:hint="eastAsia" w:ascii="楷体" w:hAnsi="楷体" w:eastAsia="楷体" w:cs="楷体"/>
          <w:sz w:val="32"/>
          <w:szCs w:val="32"/>
        </w:rPr>
        <w:t>（三）依申请公开办理情况。</w:t>
      </w:r>
      <w:r>
        <w:rPr>
          <w:rFonts w:hint="eastAsia" w:ascii="仿宋_GB2312" w:hAnsi="仿宋_GB2312" w:eastAsia="仿宋_GB2312" w:cs="仿宋_GB2312"/>
          <w:sz w:val="32"/>
          <w:szCs w:val="32"/>
        </w:rPr>
        <w:t>聚焦依法行政，规范依申请办理。全年开展依申请公开办理培训及交流指导活动8场次，制发工作指导文件2份，有效破解了行政机关依申请公开办理的堵点、难点问题，依申请公开办理标准化、规范化程度进一步强化。</w:t>
      </w:r>
      <w:r>
        <w:rPr>
          <w:rFonts w:hint="eastAsia" w:ascii="仿宋_GB2312" w:hAnsi="仿宋_GB2312" w:eastAsia="仿宋_GB2312" w:cs="仿宋_GB2312"/>
          <w:spacing w:val="8"/>
          <w:kern w:val="0"/>
          <w:sz w:val="32"/>
          <w:szCs w:val="32"/>
        </w:rPr>
        <w:t>全年共受理依申请1416件，受理渠道畅通，按期答复率100%。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sz w:val="32"/>
          <w:szCs w:val="32"/>
        </w:rPr>
        <w:t>（四）政府信息管理情况。</w:t>
      </w:r>
      <w:r>
        <w:rPr>
          <w:rFonts w:hint="eastAsia" w:ascii="仿宋_GB2312" w:hAnsi="仿宋_GB2312" w:eastAsia="仿宋_GB2312" w:cs="仿宋_GB2312"/>
          <w:sz w:val="32"/>
          <w:szCs w:val="32"/>
        </w:rPr>
        <w:t>聚焦政策服务，推动政策制定规范化。建立政策性文件制定的全流程规范化制度，对政策的起草、审议、制发、解读、申报、兑现、执行效果等各环节明确必备条件、规范动作等要素，以政策制定的规范化助推政策更加合理化、科学化、精准化。</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sz w:val="32"/>
          <w:szCs w:val="32"/>
        </w:rPr>
        <w:t>（五）政府信息公开平台建设情况。</w:t>
      </w:r>
      <w:r>
        <w:rPr>
          <w:rFonts w:hint="eastAsia" w:ascii="仿宋_GB2312" w:hAnsi="仿宋_GB2312" w:eastAsia="仿宋_GB2312" w:cs="仿宋_GB2312"/>
          <w:sz w:val="32"/>
          <w:szCs w:val="32"/>
        </w:rPr>
        <w:t>聚焦服务为民，打造政民互通桥梁。一是坚持以“民意连接”和“民声回应”为导向，制发</w:t>
      </w:r>
      <w:bookmarkStart w:id="0" w:name="_Hlk191589600"/>
      <w:r>
        <w:rPr>
          <w:rFonts w:hint="eastAsia" w:ascii="仿宋_GB2312" w:hAnsi="仿宋_GB2312" w:eastAsia="仿宋_GB2312" w:cs="仿宋_GB2312"/>
          <w:sz w:val="32"/>
          <w:szCs w:val="32"/>
        </w:rPr>
        <w:t>《2024年大兴区政民互动工作方案》</w:t>
      </w:r>
      <w:bookmarkEnd w:id="0"/>
      <w:r>
        <w:rPr>
          <w:rFonts w:hint="eastAsia" w:ascii="仿宋_GB2312" w:hAnsi="仿宋_GB2312" w:eastAsia="仿宋_GB2312" w:cs="仿宋_GB2312"/>
          <w:sz w:val="32"/>
          <w:szCs w:val="32"/>
        </w:rPr>
        <w:t>，全区共开展“政务开放日”“政策公开讲”等活动40余场次。二是进一步强化政府对外联系电话和网民留言回复“双治理”，确保电话咨询渠道畅通、百姓咨询及时答复。三是实现区政府网站与全市政策兑现服务平台的数据全量化对接，为企业群众尽享大兴区经济社会发展的政策红利提供更加多元更加便捷的平台。</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sz w:val="32"/>
          <w:szCs w:val="32"/>
        </w:rPr>
        <w:t>（六）教育培训情况。</w:t>
      </w:r>
      <w:r>
        <w:rPr>
          <w:rFonts w:hint="eastAsia" w:ascii="仿宋_GB2312" w:hAnsi="仿宋_GB2312" w:eastAsia="仿宋_GB2312" w:cs="仿宋_GB2312"/>
          <w:sz w:val="32"/>
          <w:szCs w:val="32"/>
        </w:rPr>
        <w:t>创新建立“岗前业务培训”“政务公开业务交流”等工作机制，充分发挥“传帮带”作用，</w:t>
      </w:r>
      <w:r>
        <w:rPr>
          <w:rFonts w:hint="eastAsia" w:ascii="仿宋_GB2312" w:eastAsia="仿宋_GB2312" w:cs="仿宋_GB2312"/>
          <w:sz w:val="32"/>
          <w:szCs w:val="32"/>
          <w:lang w:bidi="ar"/>
        </w:rPr>
        <w:t>全年共开展集中业务交流及“一对一”指导30余次。同时，依</w:t>
      </w:r>
      <w:r>
        <w:rPr>
          <w:rFonts w:hint="eastAsia" w:ascii="仿宋_GB2312" w:hAnsi="仿宋_GB2312" w:eastAsia="仿宋_GB2312" w:cs="仿宋_GB2312"/>
          <w:sz w:val="32"/>
          <w:szCs w:val="32"/>
        </w:rPr>
        <w:t>托政府信息公开领域专家及法律专业人士，围绕政策性文件制定、依申请公开办理、政务新媒体运维管理、政策兑现服务应用等方面，组织全区公开队伍200余人次，开展4次业务培训，有效锤炼了政府信息公开队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color w:val="000000"/>
          <w:sz w:val="32"/>
          <w:szCs w:val="32"/>
        </w:rPr>
        <w:t>（七）监督保障情况。</w:t>
      </w:r>
      <w:r>
        <w:rPr>
          <w:rFonts w:hint="eastAsia" w:ascii="仿宋_GB2312" w:hAnsi="仿宋_GB2312" w:eastAsia="仿宋_GB2312" w:cs="仿宋_GB2312"/>
          <w:sz w:val="32"/>
          <w:szCs w:val="32"/>
        </w:rPr>
        <w:t>将政府信息公开纳入区政府绩效考核体系，严格开展现场察访核验，发现问题，查找不足，督促整改，促进各项任务规范落实。为公众提供对外联系电话、“领导信箱”留言、邮箱、信件等多种互动渠道，保障群众咨询与监督渠道畅通。本年度，未发生因政府信息公开和网站及政务新媒体保障不力被追责情况。</w:t>
      </w:r>
    </w:p>
    <w:p>
      <w:pPr>
        <w:pStyle w:val="2"/>
      </w:pPr>
    </w:p>
    <w:p>
      <w:pPr>
        <w:numPr>
          <w:ilvl w:val="0"/>
          <w:numId w:val="1"/>
        </w:numPr>
        <w:spacing w:line="560" w:lineRule="exact"/>
        <w:ind w:firstLine="640" w:firstLineChars="200"/>
      </w:pPr>
      <w:r>
        <w:rPr>
          <w:rFonts w:hint="eastAsia" w:ascii="黑体" w:hAnsi="黑体" w:eastAsia="黑体" w:cs="黑体"/>
          <w:sz w:val="32"/>
          <w:szCs w:val="32"/>
        </w:rPr>
        <w:t>主动公开政府信息情况</w:t>
      </w:r>
    </w:p>
    <w:p>
      <w:pPr>
        <w:pStyle w:val="2"/>
      </w:pP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rPr>
            </w:pPr>
            <w:r>
              <w:rPr>
                <w:rFonts w:hint="eastAsia" w:ascii="宋体" w:hAnsi="宋体" w:cs="宋体"/>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21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11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131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pPr>
            <w:r>
              <w:rPr>
                <w:rFonts w:ascii="宋体" w:hAnsi="宋体" w:cs="宋体"/>
                <w:color w:val="000000"/>
                <w:kern w:val="0"/>
                <w:sz w:val="20"/>
                <w:szCs w:val="20"/>
                <w:lang w:bidi="ar"/>
              </w:rPr>
              <w:t>115844</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30660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712</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spacing w:after="0" w:line="560" w:lineRule="exact"/>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jc w:val="center"/>
              <w:rPr>
                <w:rFonts w:ascii="宋体"/>
                <w:sz w:val="24"/>
              </w:rPr>
            </w:pPr>
            <w:r>
              <w:rPr>
                <w:rFonts w:hint="eastAsia" w:ascii="宋体" w:hAnsi="宋体" w:cs="宋体"/>
                <w:color w:val="000000"/>
                <w:kern w:val="0"/>
                <w:sz w:val="20"/>
                <w:szCs w:val="20"/>
                <w:lang w:bidi="ar"/>
              </w:rPr>
              <w:t>15899.0919</w:t>
            </w:r>
          </w:p>
        </w:tc>
      </w:tr>
    </w:tbl>
    <w:p>
      <w:pPr>
        <w:spacing w:line="560" w:lineRule="exact"/>
        <w:ind w:left="420" w:leftChars="200"/>
        <w:rPr>
          <w:rFonts w:hint="eastAsia" w:ascii="黑体" w:hAnsi="黑体" w:eastAsia="黑体" w:cs="黑体"/>
          <w:sz w:val="32"/>
          <w:szCs w:val="32"/>
        </w:rPr>
      </w:pPr>
    </w:p>
    <w:p>
      <w:pPr>
        <w:pStyle w:val="2"/>
        <w:rPr>
          <w:rFonts w:hint="eastAsia" w:ascii="黑体" w:hAnsi="黑体" w:eastAsia="黑体" w:cs="黑体"/>
          <w:sz w:val="32"/>
          <w:szCs w:val="32"/>
        </w:rPr>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after="0" w:line="240" w:lineRule="atLeast"/>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560" w:lineRule="exact"/>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spacing w:line="240" w:lineRule="atLeast"/>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商业</w:t>
            </w:r>
          </w:p>
          <w:p>
            <w:pPr>
              <w:spacing w:after="0" w:line="240" w:lineRule="atLeast"/>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科研</w:t>
            </w:r>
          </w:p>
          <w:p>
            <w:pPr>
              <w:spacing w:after="0" w:line="240" w:lineRule="atLeast"/>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spacing w:after="0" w:line="240" w:lineRule="atLeast"/>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spacing w:line="240" w:lineRule="atLeast"/>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1324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89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3</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1416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after="0"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kern w:val="0"/>
                <w:sz w:val="20"/>
                <w:szCs w:val="20"/>
                <w:lang w:bidi="ar"/>
              </w:rPr>
              <w:t>37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spacing w:after="0" w:line="560" w:lineRule="exact"/>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after="0"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kern w:val="0"/>
                <w:sz w:val="20"/>
                <w:szCs w:val="20"/>
                <w:lang w:bidi="ar"/>
              </w:rPr>
              <w:t>389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kern w:val="0"/>
                <w:sz w:val="20"/>
                <w:szCs w:val="20"/>
                <w:lang w:bidi="ar"/>
              </w:rPr>
              <w:t>25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2</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after="0" w:line="560" w:lineRule="exact"/>
              <w:jc w:val="center"/>
              <w:rPr>
                <w:rFonts w:hint="eastAsia" w:ascii="宋体" w:hAnsi="宋体" w:cs="宋体"/>
                <w:sz w:val="20"/>
                <w:szCs w:val="20"/>
              </w:rPr>
            </w:pPr>
            <w:r>
              <w:rPr>
                <w:rFonts w:ascii="宋体" w:hAnsi="宋体" w:cs="宋体"/>
                <w:sz w:val="20"/>
                <w:szCs w:val="20"/>
              </w:rPr>
              <w:t>416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spacing w:after="0" w:line="240" w:lineRule="atLeas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119</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spacing w:after="0" w:line="240" w:lineRule="atLeast"/>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6</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5</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5</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9</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spacing w:after="0" w:line="240" w:lineRule="atLeast"/>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634</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61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695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28</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spacing w:after="0" w:line="240" w:lineRule="atLeast"/>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7</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13</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default" w:ascii="宋体" w:hAnsi="宋体" w:cs="宋体"/>
                <w:kern w:val="0"/>
                <w:sz w:val="20"/>
                <w:szCs w:val="20"/>
                <w:lang w:val="en-US"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default" w:ascii="宋体" w:hAnsi="宋体" w:cs="宋体"/>
                <w:sz w:val="20"/>
                <w:szCs w:val="20"/>
                <w:lang w:val="en-US"/>
              </w:rPr>
            </w:pPr>
            <w:r>
              <w:rPr>
                <w:rFonts w:hint="default" w:ascii="宋体" w:hAnsi="宋体" w:cs="宋体"/>
                <w:sz w:val="20"/>
                <w:szCs w:val="20"/>
                <w:lang w:val="en-US"/>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spacing w:after="0" w:line="240" w:lineRule="atLeas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spacing w:after="0" w:line="240" w:lineRule="atLeast"/>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bookmarkStart w:id="1" w:name="_GoBack"/>
            <w:bookmarkEnd w:id="1"/>
            <w:r>
              <w:rPr>
                <w:rFonts w:hint="eastAsia" w:ascii="宋体" w:hAnsi="宋体" w:cs="宋体"/>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spacing w:after="0" w:line="240" w:lineRule="atLeast"/>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spacing w:after="0" w:line="240" w:lineRule="atLeas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8</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spacing w:after="0" w:line="240" w:lineRule="atLeas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4</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spacing w:line="240" w:lineRule="atLeast"/>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spacing w:after="0" w:line="240" w:lineRule="atLeas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19</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eastAsia="宋体" w:cs="宋体"/>
                <w:sz w:val="20"/>
                <w:szCs w:val="20"/>
                <w:lang w:eastAsia="zh-CN"/>
              </w:rPr>
            </w:pPr>
            <w:r>
              <w:rPr>
                <w:rFonts w:hint="eastAsia" w:ascii="宋体" w:hAnsi="宋体" w:cs="宋体"/>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1</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spacing w:line="560" w:lineRule="exact"/>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spacing w:after="0" w:line="240" w:lineRule="atLeas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1249</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9</w:t>
            </w:r>
            <w:r>
              <w:rPr>
                <w:rFonts w:ascii="宋体" w:hAnsi="宋体" w:cs="宋体"/>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hint="eastAsia"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3</w:t>
            </w:r>
          </w:p>
        </w:tc>
        <w:tc>
          <w:tcPr>
            <w:tcW w:w="689" w:type="dxa"/>
            <w:tcBorders>
              <w:top w:val="nil"/>
              <w:left w:val="nil"/>
              <w:bottom w:val="single" w:color="auto" w:sz="8" w:space="0"/>
              <w:right w:val="single" w:color="auto" w:sz="8" w:space="0"/>
            </w:tcBorders>
            <w:tcMar>
              <w:left w:w="57" w:type="dxa"/>
              <w:right w:w="57"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1343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spacing w:after="0" w:line="240" w:lineRule="atLeast"/>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spacing w:line="240" w:lineRule="atLeast"/>
              <w:jc w:val="center"/>
              <w:rPr>
                <w:rFonts w:hint="eastAsia" w:ascii="宋体" w:hAnsi="宋体" w:cs="宋体"/>
                <w:sz w:val="20"/>
                <w:szCs w:val="20"/>
              </w:rPr>
            </w:pPr>
            <w:r>
              <w:rPr>
                <w:rFonts w:ascii="宋体" w:hAnsi="宋体" w:cs="宋体"/>
                <w:sz w:val="20"/>
                <w:szCs w:val="20"/>
              </w:rPr>
              <w:t>112</w:t>
            </w:r>
          </w:p>
        </w:tc>
        <w:tc>
          <w:tcPr>
            <w:tcW w:w="688" w:type="dxa"/>
            <w:tcBorders>
              <w:top w:val="outset" w:color="auto" w:sz="6" w:space="0"/>
              <w:left w:val="nil"/>
              <w:bottom w:val="outset" w:color="auto" w:sz="6" w:space="0"/>
              <w:right w:val="outset" w:color="auto" w:sz="6" w:space="0"/>
            </w:tcBorders>
            <w:vAlign w:val="center"/>
          </w:tcPr>
          <w:p>
            <w:pPr>
              <w:spacing w:line="240" w:lineRule="atLeast"/>
              <w:jc w:val="center"/>
              <w:rPr>
                <w:rFonts w:hint="eastAsia" w:ascii="宋体" w:hAnsi="宋体" w:cs="宋体"/>
                <w:sz w:val="20"/>
                <w:szCs w:val="20"/>
              </w:rPr>
            </w:pPr>
            <w:r>
              <w:rPr>
                <w:rFonts w:ascii="宋体" w:hAnsi="宋体" w:cs="宋体"/>
                <w:sz w:val="20"/>
                <w:szCs w:val="20"/>
              </w:rPr>
              <w:t>4</w:t>
            </w:r>
          </w:p>
        </w:tc>
        <w:tc>
          <w:tcPr>
            <w:tcW w:w="688" w:type="dxa"/>
            <w:tcBorders>
              <w:top w:val="outset" w:color="auto" w:sz="6" w:space="0"/>
              <w:left w:val="nil"/>
              <w:bottom w:val="outset" w:color="auto" w:sz="6" w:space="0"/>
              <w:right w:val="outset" w:color="auto" w:sz="6" w:space="0"/>
            </w:tcBorders>
            <w:vAlign w:val="center"/>
          </w:tcPr>
          <w:p>
            <w:pPr>
              <w:spacing w:line="240" w:lineRule="atLeast"/>
              <w:jc w:val="center"/>
              <w:rPr>
                <w:rFonts w:hint="eastAsia" w:ascii="宋体" w:hAnsi="宋体" w:cs="宋体"/>
                <w:sz w:val="20"/>
                <w:szCs w:val="20"/>
              </w:rPr>
            </w:pPr>
            <w:r>
              <w:rPr>
                <w:rFonts w:hint="eastAsia" w:ascii="宋体" w:hAnsi="宋体" w:cs="宋体"/>
                <w:sz w:val="20"/>
                <w:szCs w:val="20"/>
              </w:rPr>
              <w:t>0</w:t>
            </w:r>
          </w:p>
        </w:tc>
        <w:tc>
          <w:tcPr>
            <w:tcW w:w="688" w:type="dxa"/>
            <w:tcBorders>
              <w:top w:val="outset" w:color="auto" w:sz="6" w:space="0"/>
              <w:left w:val="nil"/>
              <w:bottom w:val="outset" w:color="auto" w:sz="6" w:space="0"/>
              <w:right w:val="outset" w:color="auto" w:sz="6" w:space="0"/>
            </w:tcBorders>
            <w:vAlign w:val="center"/>
          </w:tcPr>
          <w:p>
            <w:pPr>
              <w:spacing w:line="240" w:lineRule="atLeast"/>
              <w:jc w:val="center"/>
              <w:rPr>
                <w:rFonts w:hint="eastAsia" w:ascii="宋体" w:hAnsi="宋体" w:cs="宋体"/>
                <w:sz w:val="20"/>
                <w:szCs w:val="20"/>
              </w:rPr>
            </w:pPr>
            <w:r>
              <w:rPr>
                <w:rFonts w:hint="eastAsia" w:ascii="宋体" w:hAnsi="宋体" w:cs="宋体"/>
                <w:sz w:val="20"/>
                <w:szCs w:val="20"/>
              </w:rPr>
              <w:t>0</w:t>
            </w:r>
          </w:p>
        </w:tc>
        <w:tc>
          <w:tcPr>
            <w:tcW w:w="688" w:type="dxa"/>
            <w:tcBorders>
              <w:top w:val="outset" w:color="auto" w:sz="6" w:space="0"/>
              <w:left w:val="nil"/>
              <w:bottom w:val="outset" w:color="auto" w:sz="6" w:space="0"/>
              <w:right w:val="outset" w:color="auto" w:sz="6" w:space="0"/>
            </w:tcBorders>
            <w:vAlign w:val="center"/>
          </w:tcPr>
          <w:p>
            <w:pPr>
              <w:spacing w:line="240" w:lineRule="atLeast"/>
              <w:jc w:val="center"/>
              <w:rPr>
                <w:rFonts w:hint="eastAsia" w:ascii="宋体" w:hAnsi="宋体" w:cs="宋体"/>
                <w:sz w:val="20"/>
                <w:szCs w:val="20"/>
              </w:rPr>
            </w:pPr>
            <w:r>
              <w:rPr>
                <w:rFonts w:hint="eastAsia" w:ascii="宋体" w:hAnsi="宋体" w:cs="宋体"/>
                <w:sz w:val="20"/>
                <w:szCs w:val="20"/>
              </w:rPr>
              <w:t>0</w:t>
            </w:r>
          </w:p>
        </w:tc>
        <w:tc>
          <w:tcPr>
            <w:tcW w:w="688" w:type="dxa"/>
            <w:tcBorders>
              <w:top w:val="outset" w:color="auto" w:sz="6" w:space="0"/>
              <w:left w:val="nil"/>
              <w:bottom w:val="outset" w:color="auto" w:sz="6" w:space="0"/>
              <w:right w:val="outset" w:color="auto" w:sz="6" w:space="0"/>
            </w:tcBorders>
            <w:vAlign w:val="center"/>
          </w:tcPr>
          <w:p>
            <w:pPr>
              <w:spacing w:line="240" w:lineRule="atLeast"/>
              <w:jc w:val="center"/>
              <w:rPr>
                <w:rFonts w:hint="eastAsia" w:ascii="宋体" w:hAnsi="宋体" w:cs="宋体"/>
                <w:sz w:val="20"/>
                <w:szCs w:val="20"/>
              </w:rPr>
            </w:pPr>
            <w:r>
              <w:rPr>
                <w:rFonts w:hint="eastAsia" w:ascii="宋体" w:hAnsi="宋体" w:cs="宋体"/>
                <w:sz w:val="20"/>
                <w:szCs w:val="20"/>
              </w:rPr>
              <w:t>0</w:t>
            </w:r>
          </w:p>
        </w:tc>
        <w:tc>
          <w:tcPr>
            <w:tcW w:w="689" w:type="dxa"/>
            <w:tcBorders>
              <w:top w:val="outset" w:color="auto" w:sz="6" w:space="0"/>
              <w:left w:val="nil"/>
              <w:bottom w:val="outset" w:color="auto" w:sz="6" w:space="0"/>
              <w:right w:val="outset" w:color="auto" w:sz="6" w:space="0"/>
            </w:tcBorders>
            <w:vAlign w:val="center"/>
          </w:tcPr>
          <w:p>
            <w:pPr>
              <w:spacing w:line="240" w:lineRule="atLeast"/>
              <w:jc w:val="center"/>
              <w:rPr>
                <w:rFonts w:hint="eastAsia" w:ascii="宋体" w:hAnsi="宋体" w:cs="宋体"/>
                <w:sz w:val="20"/>
                <w:szCs w:val="20"/>
              </w:rPr>
            </w:pPr>
            <w:r>
              <w:rPr>
                <w:rFonts w:ascii="宋体" w:hAnsi="宋体" w:cs="宋体"/>
                <w:sz w:val="20"/>
                <w:szCs w:val="20"/>
              </w:rPr>
              <w:t>116</w:t>
            </w:r>
          </w:p>
        </w:tc>
      </w:tr>
    </w:tbl>
    <w:p>
      <w:pPr>
        <w:pStyle w:val="2"/>
        <w:spacing w:line="560" w:lineRule="exact"/>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p>
      <w:pPr>
        <w:pStyle w:val="2"/>
        <w:ind w:left="420" w:leftChars="200"/>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spacing w:after="0" w:line="240" w:lineRule="atLeas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spacing w:after="0" w:line="240" w:lineRule="atLeas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line="240" w:lineRule="atLeas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line="240" w:lineRule="atLeas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line="240" w:lineRule="atLeas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line="240" w:lineRule="atLeas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line="240" w:lineRule="atLeas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spacing w:after="0" w:line="240" w:lineRule="atLeas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spacing w:after="0" w:line="240" w:lineRule="atLeas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240" w:lineRule="atLeast"/>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240" w:lineRule="atLeas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240" w:lineRule="atLeas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240" w:lineRule="atLeas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240" w:lineRule="atLeast"/>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51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r>
              <w:rPr>
                <w:rFonts w:hint="eastAsia" w:ascii="宋体" w:hAnsi="宋体" w:cs="宋体"/>
                <w:sz w:val="20"/>
                <w:szCs w:val="20"/>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4</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9</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76</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kern w:val="0"/>
                <w:sz w:val="20"/>
                <w:szCs w:val="20"/>
                <w:lang w:bidi="ar"/>
              </w:rPr>
              <w:t>5</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6</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3</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27</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22</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6</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hint="eastAsia" w:ascii="宋体" w:hAnsi="宋体" w:cs="宋体"/>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line="240" w:lineRule="atLeast"/>
              <w:jc w:val="center"/>
              <w:rPr>
                <w:rFonts w:hint="eastAsia" w:ascii="宋体" w:hAnsi="宋体" w:cs="宋体"/>
                <w:sz w:val="20"/>
                <w:szCs w:val="20"/>
              </w:rPr>
            </w:pPr>
            <w:r>
              <w:rPr>
                <w:rFonts w:ascii="宋体" w:hAnsi="宋体" w:cs="宋体"/>
                <w:sz w:val="20"/>
                <w:szCs w:val="20"/>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line="240" w:lineRule="atLeast"/>
              <w:jc w:val="center"/>
              <w:rPr>
                <w:rFonts w:hint="eastAsia" w:ascii="宋体" w:hAnsi="宋体" w:cs="宋体"/>
                <w:sz w:val="20"/>
                <w:szCs w:val="20"/>
              </w:rPr>
            </w:pPr>
            <w:r>
              <w:rPr>
                <w:rFonts w:ascii="宋体" w:hAnsi="宋体" w:cs="宋体"/>
                <w:sz w:val="20"/>
                <w:szCs w:val="20"/>
              </w:rPr>
              <w:t>29</w:t>
            </w:r>
          </w:p>
        </w:tc>
      </w:tr>
    </w:tbl>
    <w:p>
      <w:pPr>
        <w:widowControl/>
        <w:spacing w:line="560" w:lineRule="exact"/>
        <w:jc w:val="left"/>
        <w:rPr>
          <w:rFonts w:hint="eastAsia" w:ascii="黑体" w:hAnsi="黑体" w:eastAsia="黑体" w:cs="宋体"/>
          <w:spacing w:val="8"/>
          <w:kern w:val="0"/>
          <w:sz w:val="32"/>
          <w:szCs w:val="32"/>
        </w:rPr>
      </w:pPr>
    </w:p>
    <w:p>
      <w:pPr>
        <w:widowControl/>
        <w:spacing w:line="560" w:lineRule="exact"/>
        <w:ind w:firstLine="672" w:firstLineChars="200"/>
        <w:jc w:val="left"/>
        <w:rPr>
          <w:rFonts w:hint="eastAsia"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40" w:firstLineChars="200"/>
        <w:rPr>
          <w:rFonts w:hint="eastAsia" w:ascii="仿宋_GB2312" w:hAnsi="宋体" w:eastAsia="仿宋_GB2312" w:cs="宋体"/>
          <w:spacing w:val="8"/>
          <w:kern w:val="0"/>
          <w:sz w:val="32"/>
          <w:szCs w:val="32"/>
        </w:rPr>
      </w:pPr>
      <w:r>
        <w:rPr>
          <w:rFonts w:hint="eastAsia" w:ascii="仿宋_GB2312" w:hAnsi="仿宋_GB2312" w:eastAsia="仿宋_GB2312" w:cs="仿宋_GB2312"/>
          <w:sz w:val="32"/>
          <w:szCs w:val="32"/>
        </w:rPr>
        <w:t>政策解读的针对性和通俗性有待进一步加强。部分解读文件虽然在形式和要素方面均符合规定要求，但未能充分考虑不同受众的理解能力和需求，通过解读帮助公众更好地理解和适用政策的作用发挥不够充分。对此，我区制定了《2024年大兴区政民互动工作方案》，旨在通过“政务开放日”“政策公开讲”等活动，为企业群众提供更加直观的政策解读服务。同时鼓励政策制定部门采用“动画视频”“真人讲解”“一问一答”等方式，用通俗易懂的语言、身临其境的案例对政策开展解读，让更广泛的社会公众对政策看得懂，能理解，会使用，最大程度的发挥政策的执行效果。</w:t>
      </w:r>
    </w:p>
    <w:p>
      <w:pPr>
        <w:widowControl/>
        <w:spacing w:line="560" w:lineRule="exact"/>
        <w:ind w:firstLine="675"/>
        <w:jc w:val="left"/>
        <w:rPr>
          <w:rFonts w:hint="eastAsia" w:ascii="仿宋_GB2312" w:hAnsi="宋体" w:eastAsia="仿宋_GB2312"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jc w:val="left"/>
        <w:rPr>
          <w:rFonts w:hint="eastAsia" w:ascii="仿宋_GB2312" w:hAnsi="仿宋_GB2312" w:eastAsia="仿宋_GB2312" w:cs="仿宋_GB2312"/>
          <w:spacing w:val="8"/>
          <w:kern w:val="0"/>
          <w:sz w:val="32"/>
          <w:szCs w:val="32"/>
        </w:rPr>
      </w:pPr>
      <w:r>
        <w:rPr>
          <w:rFonts w:hint="eastAsia" w:ascii="仿宋_GB2312" w:hAnsi="宋体" w:eastAsia="仿宋_GB2312" w:cs="宋体"/>
          <w:spacing w:val="8"/>
          <w:kern w:val="0"/>
          <w:sz w:val="32"/>
          <w:szCs w:val="32"/>
        </w:rPr>
        <w:t>本年度，大兴区严格按照《政府信息公开信息处理费管理办法》的相关规定，共发出收费告知</w:t>
      </w:r>
      <w:r>
        <w:rPr>
          <w:rFonts w:ascii="仿宋_GB2312" w:hAnsi="宋体" w:eastAsia="仿宋_GB2312" w:cs="宋体"/>
          <w:spacing w:val="8"/>
          <w:kern w:val="0"/>
          <w:sz w:val="32"/>
          <w:szCs w:val="32"/>
        </w:rPr>
        <w:t>7</w:t>
      </w:r>
      <w:r>
        <w:rPr>
          <w:rFonts w:hint="eastAsia" w:ascii="仿宋_GB2312" w:hAnsi="宋体" w:eastAsia="仿宋_GB2312" w:cs="宋体"/>
          <w:spacing w:val="8"/>
          <w:kern w:val="0"/>
          <w:sz w:val="32"/>
          <w:szCs w:val="32"/>
        </w:rPr>
        <w:t>件，应缴费</w:t>
      </w:r>
      <w:r>
        <w:rPr>
          <w:rFonts w:hint="eastAsia" w:ascii="仿宋_GB2312" w:hAnsi="仿宋_GB2312" w:eastAsia="仿宋_GB2312" w:cs="仿宋_GB2312"/>
          <w:spacing w:val="8"/>
          <w:kern w:val="0"/>
          <w:sz w:val="32"/>
          <w:szCs w:val="32"/>
        </w:rPr>
        <w:t>金额</w:t>
      </w:r>
      <w:r>
        <w:rPr>
          <w:rFonts w:ascii="仿宋_GB2312" w:hAnsi="仿宋_GB2312" w:eastAsia="仿宋_GB2312" w:cs="仿宋_GB2312"/>
          <w:spacing w:val="8"/>
          <w:kern w:val="0"/>
          <w:sz w:val="32"/>
          <w:szCs w:val="32"/>
        </w:rPr>
        <w:t>3760</w:t>
      </w:r>
      <w:r>
        <w:rPr>
          <w:rFonts w:hint="eastAsia" w:ascii="仿宋_GB2312" w:hAnsi="仿宋_GB2312" w:eastAsia="仿宋_GB2312" w:cs="仿宋_GB2312"/>
          <w:spacing w:val="8"/>
          <w:kern w:val="0"/>
          <w:sz w:val="32"/>
          <w:szCs w:val="32"/>
        </w:rPr>
        <w:t>元，实际收到缴费金额</w:t>
      </w:r>
      <w:r>
        <w:rPr>
          <w:rFonts w:ascii="仿宋_GB2312" w:hAnsi="仿宋_GB2312" w:eastAsia="仿宋_GB2312" w:cs="仿宋_GB2312"/>
          <w:spacing w:val="8"/>
          <w:kern w:val="0"/>
          <w:sz w:val="32"/>
          <w:szCs w:val="32"/>
        </w:rPr>
        <w:t>220</w:t>
      </w:r>
      <w:r>
        <w:rPr>
          <w:rFonts w:hint="eastAsia" w:ascii="仿宋_GB2312" w:hAnsi="仿宋_GB2312" w:eastAsia="仿宋_GB2312" w:cs="仿宋_GB2312"/>
          <w:spacing w:val="8"/>
          <w:kern w:val="0"/>
          <w:sz w:val="32"/>
          <w:szCs w:val="32"/>
        </w:rPr>
        <w:t>元。</w:t>
      </w:r>
    </w:p>
    <w:p>
      <w:pPr>
        <w:pStyle w:val="2"/>
        <w:wordWrap w:val="0"/>
        <w:ind w:firstLine="66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北京市大兴区人民政府网站网址为https://www.bjdx.gov.cn/，如需了解更多政府信息，请登录查询。</w:t>
      </w:r>
    </w:p>
    <w:p/>
    <w:p/>
    <w:p/>
    <w:p/>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D0A1F"/>
    <w:rsid w:val="00001118"/>
    <w:rsid w:val="001A0A87"/>
    <w:rsid w:val="001D5406"/>
    <w:rsid w:val="00205155"/>
    <w:rsid w:val="003442FA"/>
    <w:rsid w:val="00357A2C"/>
    <w:rsid w:val="00392CAE"/>
    <w:rsid w:val="0047657C"/>
    <w:rsid w:val="004A546E"/>
    <w:rsid w:val="00715DF4"/>
    <w:rsid w:val="007B46C9"/>
    <w:rsid w:val="007D52B6"/>
    <w:rsid w:val="00891C1E"/>
    <w:rsid w:val="00A345BA"/>
    <w:rsid w:val="00AC2FC1"/>
    <w:rsid w:val="00C0406E"/>
    <w:rsid w:val="00CD5ED2"/>
    <w:rsid w:val="00E959E5"/>
    <w:rsid w:val="00EB376E"/>
    <w:rsid w:val="00EC173E"/>
    <w:rsid w:val="00ED5CFA"/>
    <w:rsid w:val="00FB59D7"/>
    <w:rsid w:val="0252493E"/>
    <w:rsid w:val="045D0600"/>
    <w:rsid w:val="052675BF"/>
    <w:rsid w:val="05F35354"/>
    <w:rsid w:val="11B410D0"/>
    <w:rsid w:val="1BDC3353"/>
    <w:rsid w:val="1CF54A55"/>
    <w:rsid w:val="208E3EF6"/>
    <w:rsid w:val="21D60B13"/>
    <w:rsid w:val="241C1C06"/>
    <w:rsid w:val="25183AF9"/>
    <w:rsid w:val="28793287"/>
    <w:rsid w:val="297B55FD"/>
    <w:rsid w:val="2CED2916"/>
    <w:rsid w:val="2E035F9F"/>
    <w:rsid w:val="3227474B"/>
    <w:rsid w:val="377E2F1F"/>
    <w:rsid w:val="40AC5B63"/>
    <w:rsid w:val="433F780E"/>
    <w:rsid w:val="43A30C4C"/>
    <w:rsid w:val="52F14282"/>
    <w:rsid w:val="532228FB"/>
    <w:rsid w:val="550B25EE"/>
    <w:rsid w:val="558D0A1F"/>
    <w:rsid w:val="5B47199E"/>
    <w:rsid w:val="60E85104"/>
    <w:rsid w:val="626F4E0F"/>
    <w:rsid w:val="64D72E6F"/>
    <w:rsid w:val="6EE05EAD"/>
    <w:rsid w:val="71850B1B"/>
    <w:rsid w:val="7FA7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447</Words>
  <Characters>2548</Characters>
  <Lines>21</Lines>
  <Paragraphs>5</Paragraphs>
  <TotalTime>596</TotalTime>
  <ScaleCrop>false</ScaleCrop>
  <LinksUpToDate>false</LinksUpToDate>
  <CharactersWithSpaces>2990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2024-03-01T00:29:00Z</dcterms:created>
  <dc:creator>shen</dc:creator>
  <cp:lastModifiedBy>shen</cp:lastModifiedBy>
  <dcterms:modified xsi:type="dcterms:W3CDTF">2025-03-04T05:48:05Z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