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仿宋_GB2312"/>
          <w:bCs/>
          <w:color w:val="000000"/>
          <w:sz w:val="32"/>
          <w:szCs w:val="32"/>
        </w:rPr>
      </w:pPr>
      <w:bookmarkStart w:id="0" w:name="_GoBack"/>
      <w:bookmarkEnd w:id="0"/>
      <w:r>
        <w:rPr>
          <w:rFonts w:hint="eastAsia" w:ascii="黑体" w:hAnsi="黑体" w:eastAsia="黑体" w:cs="仿宋_GB2312"/>
          <w:bCs/>
          <w:color w:val="000000"/>
          <w:sz w:val="32"/>
          <w:szCs w:val="32"/>
        </w:rPr>
        <w:t>附件8</w:t>
      </w:r>
    </w:p>
    <w:p>
      <w:pPr>
        <w:pStyle w:val="2"/>
        <w:ind w:firstLine="0" w:firstLineChars="0"/>
        <w:jc w:val="center"/>
        <w:rPr>
          <w:color w:val="000000"/>
          <w:sz w:val="44"/>
          <w:szCs w:val="44"/>
        </w:rPr>
      </w:pPr>
      <w:r>
        <w:rPr>
          <w:rFonts w:hint="eastAsia" w:ascii="方正小标宋简体" w:hAnsi="黑体" w:eastAsia="方正小标宋简体" w:cs="仿宋_GB2312"/>
          <w:bCs/>
          <w:color w:val="000000"/>
          <w:sz w:val="44"/>
          <w:szCs w:val="44"/>
        </w:rPr>
        <w:t>危房改造工作实施步骤</w:t>
      </w:r>
    </w:p>
    <w:tbl>
      <w:tblPr>
        <w:tblStyle w:val="8"/>
        <w:tblpPr w:leftFromText="180" w:rightFromText="180" w:vertAnchor="text" w:tblpX="-859" w:tblpY="419"/>
        <w:tblOverlap w:val="never"/>
        <w:tblW w:w="10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15"/>
        <w:gridCol w:w="1338"/>
        <w:gridCol w:w="1701"/>
        <w:gridCol w:w="1843"/>
        <w:gridCol w:w="1134"/>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步骤</w:t>
            </w:r>
          </w:p>
        </w:tc>
        <w:tc>
          <w:tcPr>
            <w:tcW w:w="1215"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工作程序</w:t>
            </w: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负责主体</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工作</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文件资料</w:t>
            </w: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时间</w:t>
            </w: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工作结果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674" w:type="dxa"/>
            <w:vMerge w:val="restart"/>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步</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骤</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一</w:t>
            </w:r>
          </w:p>
        </w:tc>
        <w:tc>
          <w:tcPr>
            <w:tcW w:w="1215" w:type="dxa"/>
            <w:vMerge w:val="restart"/>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住房安全监测</w:t>
            </w:r>
          </w:p>
        </w:tc>
        <w:tc>
          <w:tcPr>
            <w:tcW w:w="1338" w:type="dxa"/>
            <w:vMerge w:val="restart"/>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各镇政府</w:t>
            </w:r>
          </w:p>
        </w:tc>
        <w:tc>
          <w:tcPr>
            <w:tcW w:w="1701" w:type="dxa"/>
            <w:vMerge w:val="restart"/>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对有安全隐患的做好住房安全评定</w:t>
            </w:r>
          </w:p>
        </w:tc>
        <w:tc>
          <w:tcPr>
            <w:tcW w:w="1843" w:type="dxa"/>
            <w:vMerge w:val="restart"/>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形成《农村低收入群体住房安全评定表》（附件1）</w:t>
            </w: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长期</w:t>
            </w: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评定结果为A级或B级的属于安全住房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674" w:type="dxa"/>
            <w:vMerge w:val="continue"/>
            <w:noWrap w:val="0"/>
            <w:vAlign w:val="center"/>
          </w:tcPr>
          <w:p>
            <w:pPr>
              <w:pStyle w:val="6"/>
              <w:widowControl/>
              <w:spacing w:beforeAutospacing="0" w:afterAutospacing="0"/>
              <w:jc w:val="center"/>
              <w:rPr>
                <w:rFonts w:ascii="宋体" w:hAnsi="宋体"/>
                <w:color w:val="000000"/>
              </w:rPr>
            </w:pPr>
          </w:p>
        </w:tc>
        <w:tc>
          <w:tcPr>
            <w:tcW w:w="1215" w:type="dxa"/>
            <w:vMerge w:val="continue"/>
            <w:noWrap w:val="0"/>
            <w:vAlign w:val="center"/>
          </w:tcPr>
          <w:p>
            <w:pPr>
              <w:pStyle w:val="6"/>
              <w:widowControl/>
              <w:spacing w:beforeAutospacing="0" w:afterAutospacing="0"/>
              <w:jc w:val="center"/>
              <w:rPr>
                <w:rFonts w:ascii="宋体" w:hAnsi="宋体"/>
                <w:color w:val="000000"/>
              </w:rPr>
            </w:pPr>
          </w:p>
        </w:tc>
        <w:tc>
          <w:tcPr>
            <w:tcW w:w="1338" w:type="dxa"/>
            <w:vMerge w:val="continue"/>
            <w:noWrap w:val="0"/>
            <w:vAlign w:val="center"/>
          </w:tcPr>
          <w:p>
            <w:pPr>
              <w:pStyle w:val="6"/>
              <w:widowControl/>
              <w:spacing w:beforeAutospacing="0" w:afterAutospacing="0"/>
              <w:jc w:val="center"/>
              <w:rPr>
                <w:rFonts w:ascii="宋体" w:hAnsi="宋体"/>
                <w:color w:val="000000"/>
              </w:rPr>
            </w:pPr>
          </w:p>
        </w:tc>
        <w:tc>
          <w:tcPr>
            <w:tcW w:w="1701" w:type="dxa"/>
            <w:vMerge w:val="continue"/>
            <w:noWrap w:val="0"/>
            <w:vAlign w:val="center"/>
          </w:tcPr>
          <w:p>
            <w:pPr>
              <w:pStyle w:val="6"/>
              <w:widowControl/>
              <w:spacing w:beforeAutospacing="0" w:afterAutospacing="0"/>
              <w:jc w:val="center"/>
              <w:rPr>
                <w:rFonts w:ascii="宋体" w:hAnsi="宋体"/>
                <w:color w:val="000000"/>
              </w:rPr>
            </w:pPr>
          </w:p>
        </w:tc>
        <w:tc>
          <w:tcPr>
            <w:tcW w:w="1843" w:type="dxa"/>
            <w:vMerge w:val="continue"/>
            <w:noWrap w:val="0"/>
            <w:vAlign w:val="center"/>
          </w:tcPr>
          <w:p>
            <w:pPr>
              <w:pStyle w:val="6"/>
              <w:widowControl/>
              <w:spacing w:beforeAutospacing="0" w:afterAutospacing="0"/>
              <w:jc w:val="center"/>
              <w:rPr>
                <w:rFonts w:ascii="宋体" w:hAnsi="宋体"/>
                <w:color w:val="000000"/>
              </w:rPr>
            </w:pP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立即纳入改造安全和保障安全范围</w:t>
            </w: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评定结果为C级或D级危房的要建立工作台账，并及时告知保障对象和村委会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步</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骤</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二</w:t>
            </w:r>
          </w:p>
        </w:tc>
        <w:tc>
          <w:tcPr>
            <w:tcW w:w="1215"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申请</w:t>
            </w: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保障对象，村委会</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建房时提出享受危房改造补助资金申请</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《农村低收入群体危房改造补助资金申请确认表》（附件2）</w:t>
            </w: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村委会协助填写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步</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骤</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三</w:t>
            </w:r>
          </w:p>
        </w:tc>
        <w:tc>
          <w:tcPr>
            <w:tcW w:w="1215"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确户</w:t>
            </w: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村委会</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召开会议评议，张榜公示</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无异议签署《申请确认表》</w:t>
            </w: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公示7天</w:t>
            </w: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报送所在镇政府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trPr>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215"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各镇政府</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审核村委会报送材料，校核危房改造是否符合镇域规划及村庄规划，并绘制矢量数据</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函至区规自分局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215"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区规自</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分局</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复核镇政府初步校核结果</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函复镇政府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rPr>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215"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各镇政府</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公示审核结果</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签署意见的《申请确认表》和《农村低收入群体住房安全评定表》</w:t>
            </w: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公示7天</w:t>
            </w: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结合村镇两级公示材料报送至区住建委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215"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区住建委</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会同区级各单位确认</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《申请确认表》</w:t>
            </w: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在《申请确认表》上签署意见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步</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骤</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四</w:t>
            </w:r>
          </w:p>
        </w:tc>
        <w:tc>
          <w:tcPr>
            <w:tcW w:w="1215"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建设管理</w:t>
            </w: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各镇政府</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参照《图集》和《指南》设计和施工</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开工前，签订《施工合同》（附件3）</w:t>
            </w: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按照《指导意见》和《通知》实施和验收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步</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骤</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五</w:t>
            </w:r>
          </w:p>
        </w:tc>
        <w:tc>
          <w:tcPr>
            <w:tcW w:w="1215"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资金使用管理</w:t>
            </w: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各镇政府</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向区住建委申报下一年危改计划及资金预算</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每年8月底前</w:t>
            </w: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区住建委根据各镇计划及预算向区财政局申报下一年农村危房改造资金年度预算（2.7万/户）</w:t>
            </w:r>
          </w:p>
          <w:p>
            <w:pPr>
              <w:pStyle w:val="6"/>
              <w:widowControl/>
              <w:spacing w:beforeAutospacing="0" w:afterAutospacing="0"/>
              <w:jc w:val="center"/>
              <w:rPr>
                <w:rFonts w:ascii="宋体" w:hAnsi="宋体" w:cs="仿宋"/>
                <w:color w:val="00000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1215" w:type="dxa"/>
            <w:noWrap w:val="0"/>
            <w:vAlign w:val="center"/>
          </w:tcPr>
          <w:p>
            <w:pPr>
              <w:pStyle w:val="6"/>
              <w:widowControl/>
              <w:spacing w:beforeAutospacing="0" w:afterAutospacing="0"/>
              <w:jc w:val="center"/>
              <w:rPr>
                <w:rFonts w:ascii="宋体" w:hAnsi="宋体" w:cs="仿宋"/>
                <w:color w:val="000000"/>
                <w:highlight w:val="yellow"/>
                <w:shd w:val="clear" w:color="auto" w:fill="FFFFFF"/>
              </w:rPr>
            </w:pP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各镇政府</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向区住建委申报各镇当年市级补助资金预算（4.1万/户）</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各镇政府填报《农村低收入群体危房改造资金需求表（镇）》（附件5）</w:t>
            </w: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每年8月30日前</w:t>
            </w: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区住建委汇总后填报《农村低收入群体危房改造资金需求表（区）》（附件6），经区政府同意后报市住建委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4"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步</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骤</w:t>
            </w:r>
          </w:p>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六</w:t>
            </w:r>
          </w:p>
        </w:tc>
        <w:tc>
          <w:tcPr>
            <w:tcW w:w="1215"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档案信息管理</w:t>
            </w:r>
          </w:p>
        </w:tc>
        <w:tc>
          <w:tcPr>
            <w:tcW w:w="1338"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各镇政府</w:t>
            </w:r>
          </w:p>
        </w:tc>
        <w:tc>
          <w:tcPr>
            <w:tcW w:w="1701"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实行“一户一档”管理</w:t>
            </w:r>
          </w:p>
        </w:tc>
        <w:tc>
          <w:tcPr>
            <w:tcW w:w="1843"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《农村低收入群体住房安全评定表》、《申请确认表》、保障对象身份文件、村镇两级公示材料、《施工合同》、改造前后照片、资金拨付证明</w:t>
            </w:r>
          </w:p>
        </w:tc>
        <w:tc>
          <w:tcPr>
            <w:tcW w:w="1134" w:type="dxa"/>
            <w:noWrap w:val="0"/>
            <w:vAlign w:val="center"/>
          </w:tcPr>
          <w:p>
            <w:pPr>
              <w:pStyle w:val="6"/>
              <w:widowControl/>
              <w:spacing w:beforeAutospacing="0" w:afterAutospacing="0"/>
              <w:jc w:val="center"/>
              <w:rPr>
                <w:rFonts w:ascii="宋体" w:hAnsi="宋体" w:cs="仿宋"/>
                <w:color w:val="000000"/>
                <w:shd w:val="clear" w:color="auto" w:fill="FFFFFF"/>
              </w:rPr>
            </w:pPr>
          </w:p>
        </w:tc>
        <w:tc>
          <w:tcPr>
            <w:tcW w:w="2340" w:type="dxa"/>
            <w:noWrap w:val="0"/>
            <w:vAlign w:val="center"/>
          </w:tcPr>
          <w:p>
            <w:pPr>
              <w:pStyle w:val="6"/>
              <w:widowControl/>
              <w:spacing w:beforeAutospacing="0" w:afterAutospacing="0"/>
              <w:jc w:val="center"/>
              <w:rPr>
                <w:rFonts w:ascii="宋体" w:hAnsi="宋体" w:cs="仿宋"/>
                <w:color w:val="000000"/>
                <w:shd w:val="clear" w:color="auto" w:fill="FFFFFF"/>
              </w:rPr>
            </w:pPr>
            <w:r>
              <w:rPr>
                <w:rFonts w:hint="eastAsia" w:ascii="宋体" w:hAnsi="宋体" w:cs="仿宋"/>
                <w:color w:val="000000"/>
                <w:shd w:val="clear" w:color="auto" w:fill="FFFFFF"/>
              </w:rPr>
              <w:t>归入建房档案，将信息录入北京市农村建筑改造监管系统</w:t>
            </w:r>
          </w:p>
        </w:tc>
      </w:tr>
    </w:tbl>
    <w:p>
      <w:pPr>
        <w:widowControl/>
        <w:rPr>
          <w:rFonts w:ascii="仿宋_GB2312" w:hAnsi="黑体" w:eastAsia="仿宋_GB2312" w:cs="仿宋_GB2312"/>
          <w:bCs/>
          <w:color w:val="000000"/>
          <w:sz w:val="18"/>
          <w:szCs w:val="18"/>
        </w:rPr>
      </w:pPr>
    </w:p>
    <w:p>
      <w:pPr>
        <w:widowControl/>
        <w:rPr>
          <w:rFonts w:ascii="仿宋_GB2312" w:hAnsi="黑体" w:eastAsia="仿宋_GB2312" w:cs="仿宋_GB2312"/>
          <w:bCs/>
          <w:color w:val="000000"/>
          <w:sz w:val="18"/>
          <w:szCs w:val="18"/>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41841"/>
    <w:rsid w:val="11521DBD"/>
    <w:rsid w:val="2F84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after="0" w:line="580" w:lineRule="exact"/>
      <w:ind w:left="0" w:leftChars="0" w:firstLine="420" w:firstLineChars="200"/>
    </w:pPr>
    <w:rPr>
      <w:rFonts w:ascii="仿宋_GB2312" w:eastAsia="仿宋_GB2312"/>
      <w:sz w:val="32"/>
      <w:szCs w:val="32"/>
    </w:r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2021-09-17T08:35:00Z</dcterms:created>
  <dc:creator>觅尘缘</dc:creator>
  <cp:lastModifiedBy>月</cp:lastModifiedBy>
  <dcterms:modified xsi:type="dcterms:W3CDTF">2021-11-19T07:33:32Z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4E9FD4EE13164E2B8917731295551B90</vt:lpwstr>
  </property>
</Properties>
</file>