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r>
        <w:pict>
          <v:shape id="_x0000_s1026" o:spid="_x0000_s1026" o:spt="136" type="#_x0000_t136" style="position:absolute;left:0pt;margin-left:14.05pt;margin-top:401.35pt;height:48pt;width:576pt;mso-position-horizontal-relative:page;mso-position-vertical-relative:page;rotation:20643840f;z-index:-251905024;mso-width-relative:page;mso-height-relative:page;" fillcolor="#AAAAAA" filled="t" stroked="f" coordsize="21600,21600">
            <v:path/>
            <v:fill on="t" opacity="32639f" focussize="0,0"/>
            <v:stroke on="f"/>
            <v:imagedata o:title=""/>
            <o:lock v:ext="edit"/>
            <v:textpath on="t" fitpath="t" trim="t" xscale="f" string="北京市大兴区人民政府公报" style="font-family:微软雅黑;font-size:48pt;v-text-align:center;"/>
          </v:shape>
        </w:pict>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4"/>
        <w:rPr>
          <w:rFonts w:ascii="Times New Roman"/>
          <w:sz w:val="20"/>
        </w:rPr>
      </w:pPr>
    </w:p>
    <w:p>
      <w:pPr>
        <w:spacing w:before="0" w:line="1488" w:lineRule="exact"/>
        <w:ind w:left="0" w:right="1346" w:firstLine="0"/>
        <w:jc w:val="center"/>
        <w:rPr>
          <w:rFonts w:hint="eastAsia" w:ascii="方正小标宋简体" w:eastAsia="方正小标宋简体"/>
          <w:sz w:val="96"/>
        </w:rPr>
      </w:pPr>
      <w:r>
        <w:rPr>
          <w:rFonts w:hint="eastAsia" w:ascii="方正小标宋简体" w:eastAsia="方正小标宋简体"/>
          <w:color w:val="FF0000"/>
          <w:w w:val="70"/>
          <w:sz w:val="96"/>
        </w:rPr>
        <w:t>北京市大兴区人民政府文件</w:t>
      </w:r>
    </w:p>
    <w:p>
      <w:pPr>
        <w:pStyle w:val="3"/>
        <w:spacing w:before="2"/>
        <w:rPr>
          <w:rFonts w:ascii="方正小标宋简体"/>
          <w:sz w:val="63"/>
        </w:rPr>
      </w:pPr>
    </w:p>
    <w:p>
      <w:pPr>
        <w:pStyle w:val="3"/>
        <w:ind w:right="1359"/>
        <w:jc w:val="center"/>
      </w:pPr>
      <w:r>
        <w:pict>
          <v:shape id="_x0000_s1027" o:spid="_x0000_s1027" style="position:absolute;left:0pt;margin-left:77.5pt;margin-top:26.15pt;height:0.1pt;width:431.25pt;mso-position-horizontal-relative:page;mso-wrap-distance-bottom:0pt;mso-wrap-distance-top:0pt;z-index:-251658240;mso-width-relative:page;mso-height-relative:page;" filled="f" stroked="t" coordorigin="1551,524" coordsize="8625,0" path="m1551,524l10176,524e">
            <v:path arrowok="t"/>
            <v:fill on="f" focussize="0,0"/>
            <v:stroke weight="1.43149606299213pt" color="#FF0000"/>
            <v:imagedata o:title=""/>
            <o:lock v:ext="edit"/>
            <w10:wrap type="topAndBottom"/>
          </v:shape>
        </w:pict>
      </w:r>
      <w:r>
        <w:t>京兴政发〔2022〕6 号</w:t>
      </w:r>
    </w:p>
    <w:p>
      <w:pPr>
        <w:pStyle w:val="3"/>
      </w:pPr>
    </w:p>
    <w:p>
      <w:pPr>
        <w:pStyle w:val="3"/>
        <w:spacing w:before="8"/>
        <w:rPr>
          <w:sz w:val="38"/>
        </w:rPr>
      </w:pPr>
    </w:p>
    <w:p>
      <w:pPr>
        <w:pStyle w:val="2"/>
        <w:spacing w:before="1"/>
      </w:pPr>
      <w:r>
        <w:t>北京市大兴区人民政府关于</w:t>
      </w:r>
    </w:p>
    <w:p>
      <w:pPr>
        <w:spacing w:before="0" w:line="600" w:lineRule="exact"/>
        <w:ind w:left="0" w:right="1361" w:firstLine="0"/>
        <w:jc w:val="center"/>
        <w:rPr>
          <w:rFonts w:hint="eastAsia" w:ascii="方正小标宋简体" w:eastAsia="方正小标宋简体"/>
          <w:sz w:val="44"/>
        </w:rPr>
      </w:pPr>
      <w:r>
        <w:rPr>
          <w:rFonts w:hint="eastAsia" w:ascii="方正小标宋简体" w:eastAsia="方正小标宋简体"/>
          <w:sz w:val="44"/>
        </w:rPr>
        <w:t>印发《大兴区促进氢能产业发展暂行办法</w:t>
      </w:r>
    </w:p>
    <w:p>
      <w:pPr>
        <w:spacing w:before="0" w:line="689" w:lineRule="exact"/>
        <w:ind w:left="0" w:right="1360" w:firstLine="0"/>
        <w:jc w:val="center"/>
        <w:rPr>
          <w:rFonts w:hint="eastAsia" w:ascii="方正小标宋简体" w:eastAsia="方正小标宋简体"/>
          <w:sz w:val="44"/>
        </w:rPr>
      </w:pPr>
      <w:r>
        <w:rPr>
          <w:rFonts w:hint="eastAsia" w:ascii="方正小标宋简体" w:eastAsia="方正小标宋简体"/>
          <w:sz w:val="44"/>
        </w:rPr>
        <w:t>（2022 年修订版</w:t>
      </w:r>
      <w:r>
        <w:rPr>
          <w:rFonts w:hint="eastAsia" w:ascii="方正小标宋简体" w:eastAsia="方正小标宋简体"/>
          <w:spacing w:val="-219"/>
          <w:sz w:val="44"/>
        </w:rPr>
        <w:t>）</w:t>
      </w:r>
      <w:r>
        <w:rPr>
          <w:rFonts w:hint="eastAsia" w:ascii="方正小标宋简体" w:eastAsia="方正小标宋简体"/>
          <w:sz w:val="44"/>
        </w:rPr>
        <w:t>》的通知</w:t>
      </w:r>
    </w:p>
    <w:p>
      <w:pPr>
        <w:pStyle w:val="3"/>
        <w:spacing w:before="14"/>
        <w:rPr>
          <w:rFonts w:ascii="方正小标宋简体"/>
          <w:sz w:val="31"/>
        </w:rPr>
      </w:pPr>
    </w:p>
    <w:p>
      <w:pPr>
        <w:pStyle w:val="3"/>
        <w:spacing w:line="304" w:lineRule="auto"/>
        <w:ind w:left="113" w:right="1472"/>
      </w:pPr>
      <w:r>
        <w:rPr>
          <w:spacing w:val="5"/>
          <w:w w:val="95"/>
        </w:rPr>
        <w:t>各镇人民政府，区政府各委、办、局</w:t>
      </w:r>
      <w:r>
        <w:rPr>
          <w:spacing w:val="7"/>
          <w:w w:val="95"/>
        </w:rPr>
        <w:t>（</w:t>
      </w:r>
      <w:r>
        <w:rPr>
          <w:spacing w:val="5"/>
          <w:w w:val="95"/>
        </w:rPr>
        <w:t>公司</w:t>
      </w:r>
      <w:r>
        <w:rPr>
          <w:spacing w:val="-154"/>
          <w:w w:val="95"/>
        </w:rPr>
        <w:t>）</w:t>
      </w:r>
      <w:r>
        <w:rPr>
          <w:spacing w:val="4"/>
          <w:w w:val="95"/>
        </w:rPr>
        <w:t xml:space="preserve">、中心，各街道办 </w:t>
      </w:r>
      <w:r>
        <w:rPr>
          <w:spacing w:val="4"/>
        </w:rPr>
        <w:t>事处</w:t>
      </w:r>
    </w:p>
    <w:p>
      <w:pPr>
        <w:pStyle w:val="3"/>
        <w:spacing w:line="408" w:lineRule="exact"/>
        <w:ind w:right="1471"/>
        <w:jc w:val="right"/>
      </w:pPr>
      <w:r>
        <w:rPr>
          <w:w w:val="95"/>
        </w:rPr>
        <w:t>经区政府同意，现将《大兴区促进氢能产业发展暂行办法</w:t>
      </w:r>
    </w:p>
    <w:p>
      <w:pPr>
        <w:pStyle w:val="3"/>
        <w:spacing w:before="111"/>
        <w:ind w:right="1551"/>
        <w:jc w:val="right"/>
      </w:pPr>
      <w:r>
        <w:t>（2022</w:t>
      </w:r>
      <w:r>
        <w:rPr>
          <w:spacing w:val="-19"/>
        </w:rPr>
        <w:t xml:space="preserve"> 年修订版</w:t>
      </w:r>
      <w:r>
        <w:rPr>
          <w:spacing w:val="-161"/>
        </w:rPr>
        <w:t>）</w:t>
      </w:r>
      <w:r>
        <w:t>》印发给你们，请结合实际，认真贯彻执行。</w:t>
      </w:r>
    </w:p>
    <w:p>
      <w:pPr>
        <w:pStyle w:val="3"/>
        <w:rPr>
          <w:sz w:val="20"/>
        </w:rPr>
      </w:pPr>
    </w:p>
    <w:p>
      <w:pPr>
        <w:pStyle w:val="3"/>
        <w:rPr>
          <w:sz w:val="20"/>
        </w:rPr>
      </w:pPr>
    </w:p>
    <w:p>
      <w:pPr>
        <w:pStyle w:val="3"/>
        <w:rPr>
          <w:sz w:val="20"/>
        </w:rPr>
      </w:pPr>
    </w:p>
    <w:p>
      <w:pPr>
        <w:pStyle w:val="3"/>
        <w:spacing w:before="6"/>
        <w:rPr>
          <w:sz w:val="25"/>
        </w:rPr>
      </w:pPr>
    </w:p>
    <w:p>
      <w:pPr>
        <w:pStyle w:val="3"/>
        <w:spacing w:before="54" w:line="304" w:lineRule="auto"/>
        <w:ind w:left="5436" w:right="2352" w:hanging="445"/>
      </w:pPr>
      <w:r>
        <w:rPr>
          <w:spacing w:val="-2"/>
        </w:rPr>
        <w:t>北京市大兴区人民政府</w:t>
      </w:r>
      <w:r>
        <w:t>2022</w:t>
      </w:r>
      <w:r>
        <w:rPr>
          <w:spacing w:val="-54"/>
        </w:rPr>
        <w:t xml:space="preserve"> 年 </w:t>
      </w:r>
      <w:r>
        <w:t>3</w:t>
      </w:r>
      <w:r>
        <w:rPr>
          <w:spacing w:val="-54"/>
        </w:rPr>
        <w:t xml:space="preserve"> 月 </w:t>
      </w:r>
      <w:r>
        <w:t>31</w:t>
      </w:r>
      <w:r>
        <w:rPr>
          <w:spacing w:val="-40"/>
        </w:rPr>
        <w:t xml:space="preserve"> 日</w:t>
      </w:r>
    </w:p>
    <w:p>
      <w:pPr>
        <w:pStyle w:val="3"/>
        <w:spacing w:line="408" w:lineRule="exact"/>
        <w:ind w:left="754"/>
      </w:pPr>
      <w:r>
        <w:t>（此件主动公开）</w:t>
      </w:r>
    </w:p>
    <w:p>
      <w:pPr>
        <w:spacing w:after="0" w:line="408" w:lineRule="exact"/>
        <w:sectPr>
          <w:footerReference r:id="rId3" w:type="default"/>
          <w:type w:val="continuous"/>
          <w:pgSz w:w="11910" w:h="16840"/>
          <w:pgMar w:top="1580" w:right="0" w:bottom="1520" w:left="1360" w:header="720" w:footer="1334" w:gutter="0"/>
          <w:pgNumType w:start="1"/>
        </w:sectPr>
      </w:pPr>
    </w:p>
    <w:p>
      <w:pPr>
        <w:pStyle w:val="2"/>
        <w:spacing w:line="714" w:lineRule="exact"/>
      </w:pPr>
      <w:r>
        <w:pict>
          <v:shape id="_x0000_s1028" o:spid="_x0000_s1028" o:spt="136" type="#_x0000_t136" style="position:absolute;left:0pt;margin-left:14.05pt;margin-top:401.35pt;height:48pt;width:576pt;mso-position-horizontal-relative:page;mso-position-vertical-relative:page;rotation:20643840f;z-index:-251904000;mso-width-relative:page;mso-height-relative:page;" fillcolor="#AAAAAA" filled="t" stroked="f" coordsize="21600,21600">
            <v:path/>
            <v:fill on="t" opacity="32639f" focussize="0,0"/>
            <v:stroke on="f"/>
            <v:imagedata o:title=""/>
            <o:lock v:ext="edit"/>
            <v:textpath on="t" fitpath="t" trim="t" xscale="f" string="北京市大兴区人民政府公报" style="font-family:微软雅黑;font-size:48pt;v-text-align:center;"/>
          </v:shape>
        </w:pict>
      </w:r>
      <w:r>
        <w:t>大兴区促进氢能产业发展暂行办法</w:t>
      </w:r>
    </w:p>
    <w:p>
      <w:pPr>
        <w:pStyle w:val="3"/>
        <w:spacing w:before="28"/>
        <w:ind w:right="1360"/>
        <w:jc w:val="center"/>
        <w:rPr>
          <w:rFonts w:hint="eastAsia" w:ascii="楷体_GB2312" w:eastAsia="楷体_GB2312"/>
        </w:rPr>
      </w:pPr>
      <w:r>
        <w:rPr>
          <w:rFonts w:hint="eastAsia" w:ascii="楷体_GB2312" w:eastAsia="楷体_GB2312"/>
        </w:rPr>
        <w:t>（2022 年修订版）</w:t>
      </w:r>
    </w:p>
    <w:p>
      <w:pPr>
        <w:pStyle w:val="3"/>
        <w:rPr>
          <w:rFonts w:ascii="楷体_GB2312"/>
        </w:rPr>
      </w:pPr>
    </w:p>
    <w:p>
      <w:pPr>
        <w:pStyle w:val="3"/>
        <w:spacing w:before="8"/>
        <w:rPr>
          <w:rFonts w:ascii="楷体_GB2312"/>
          <w:sz w:val="29"/>
        </w:rPr>
      </w:pPr>
    </w:p>
    <w:p>
      <w:pPr>
        <w:pStyle w:val="3"/>
        <w:tabs>
          <w:tab w:val="left" w:pos="1279"/>
          <w:tab w:val="left" w:pos="1919"/>
        </w:tabs>
        <w:ind w:right="1357"/>
        <w:jc w:val="center"/>
        <w:rPr>
          <w:rFonts w:hint="eastAsia" w:ascii="黑体" w:eastAsia="黑体"/>
        </w:rPr>
      </w:pPr>
      <w:r>
        <w:rPr>
          <w:rFonts w:hint="eastAsia" w:ascii="黑体" w:eastAsia="黑体"/>
        </w:rPr>
        <w:t>第一章</w:t>
      </w:r>
      <w:r>
        <w:rPr>
          <w:rFonts w:hint="eastAsia" w:ascii="黑体" w:eastAsia="黑体"/>
        </w:rPr>
        <w:tab/>
      </w:r>
      <w:r>
        <w:rPr>
          <w:rFonts w:hint="eastAsia" w:ascii="黑体" w:eastAsia="黑体"/>
        </w:rPr>
        <w:t>总</w:t>
      </w:r>
      <w:r>
        <w:rPr>
          <w:rFonts w:hint="eastAsia" w:ascii="黑体" w:eastAsia="黑体"/>
        </w:rPr>
        <w:tab/>
      </w:r>
      <w:r>
        <w:rPr>
          <w:rFonts w:hint="eastAsia" w:ascii="黑体" w:eastAsia="黑体"/>
        </w:rPr>
        <w:t>则</w:t>
      </w:r>
    </w:p>
    <w:p>
      <w:pPr>
        <w:pStyle w:val="3"/>
        <w:rPr>
          <w:rFonts w:ascii="黑体"/>
        </w:rPr>
      </w:pPr>
    </w:p>
    <w:p>
      <w:pPr>
        <w:pStyle w:val="3"/>
        <w:spacing w:before="8"/>
        <w:rPr>
          <w:rFonts w:ascii="黑体"/>
          <w:sz w:val="29"/>
        </w:rPr>
      </w:pPr>
    </w:p>
    <w:p>
      <w:pPr>
        <w:pStyle w:val="3"/>
        <w:spacing w:before="1" w:line="350" w:lineRule="auto"/>
        <w:ind w:left="113" w:right="1390" w:firstLine="640"/>
        <w:jc w:val="both"/>
      </w:pPr>
      <w:r>
        <w:rPr>
          <w:rFonts w:hint="eastAsia" w:ascii="黑体" w:hAnsi="黑体" w:eastAsia="黑体"/>
          <w:spacing w:val="37"/>
        </w:rPr>
        <w:t xml:space="preserve">第一条 </w:t>
      </w:r>
      <w:r>
        <w:t>为实现“碳达峰、碳中和”战略目标，贯彻落实国</w:t>
      </w:r>
      <w:r>
        <w:rPr>
          <w:spacing w:val="-9"/>
        </w:rPr>
        <w:t>务院《新时代的中国能源发展》白皮书、《财政部 工业和信息化</w:t>
      </w:r>
      <w:r>
        <w:t>部 科技部 国家发展改革委 国家能源局关于启动燃料电池汽车示范应用工作的通知</w:t>
      </w:r>
      <w:r>
        <w:rPr>
          <w:spacing w:val="-180"/>
        </w:rPr>
        <w:t>》</w:t>
      </w:r>
      <w:r>
        <w:t>（</w:t>
      </w:r>
      <w:r>
        <w:rPr>
          <w:spacing w:val="-7"/>
        </w:rPr>
        <w:t>财建〔</w:t>
      </w:r>
      <w:r>
        <w:t>2021</w:t>
      </w:r>
      <w:r>
        <w:rPr>
          <w:spacing w:val="-19"/>
        </w:rPr>
        <w:t>〕</w:t>
      </w:r>
      <w:r>
        <w:t>266</w:t>
      </w:r>
      <w:r>
        <w:rPr>
          <w:spacing w:val="-44"/>
        </w:rPr>
        <w:t xml:space="preserve"> 号</w:t>
      </w:r>
      <w:r>
        <w:rPr>
          <w:spacing w:val="-159"/>
        </w:rPr>
        <w:t>）</w:t>
      </w:r>
      <w:r>
        <w:rPr>
          <w:spacing w:val="-21"/>
        </w:rPr>
        <w:t>、《北京市经济和信</w:t>
      </w:r>
      <w:r>
        <w:rPr>
          <w:spacing w:val="-24"/>
        </w:rPr>
        <w:t>息化局关于印发&lt;北京市氢能产业发展实施方案</w:t>
      </w:r>
      <w:r>
        <w:t>（2021-2025</w:t>
      </w:r>
      <w:r>
        <w:rPr>
          <w:spacing w:val="-46"/>
        </w:rPr>
        <w:t xml:space="preserve"> 年</w:t>
      </w:r>
      <w:r>
        <w:rPr>
          <w:spacing w:val="-40"/>
        </w:rPr>
        <w:t xml:space="preserve">）&gt; </w:t>
      </w:r>
      <w:r>
        <w:rPr>
          <w:spacing w:val="-38"/>
        </w:rPr>
        <w:t>的通知》</w:t>
      </w:r>
      <w:r>
        <w:rPr>
          <w:spacing w:val="5"/>
        </w:rPr>
        <w:t>（</w:t>
      </w:r>
      <w:r>
        <w:rPr>
          <w:spacing w:val="1"/>
        </w:rPr>
        <w:t>京经信发〔</w:t>
      </w:r>
      <w:r>
        <w:t>2021</w:t>
      </w:r>
      <w:r>
        <w:rPr>
          <w:spacing w:val="5"/>
        </w:rPr>
        <w:t>〕</w:t>
      </w:r>
      <w:r>
        <w:t>79</w:t>
      </w:r>
      <w:r>
        <w:rPr>
          <w:spacing w:val="-37"/>
        </w:rPr>
        <w:t xml:space="preserve"> 号</w:t>
      </w:r>
      <w:r>
        <w:t>）要求，支持氢能企业科技创新，促进氢能产业集聚发展，特制定本办法。</w:t>
      </w:r>
    </w:p>
    <w:p>
      <w:pPr>
        <w:pStyle w:val="3"/>
        <w:spacing w:before="7"/>
        <w:rPr>
          <w:sz w:val="47"/>
        </w:rPr>
      </w:pPr>
    </w:p>
    <w:p>
      <w:pPr>
        <w:pStyle w:val="3"/>
        <w:tabs>
          <w:tab w:val="left" w:pos="1279"/>
        </w:tabs>
        <w:ind w:right="1360"/>
        <w:jc w:val="center"/>
        <w:rPr>
          <w:rFonts w:hint="eastAsia" w:ascii="黑体" w:eastAsia="黑体"/>
        </w:rPr>
      </w:pPr>
      <w:r>
        <w:rPr>
          <w:rFonts w:hint="eastAsia" w:ascii="黑体" w:eastAsia="黑体"/>
        </w:rPr>
        <w:t>第二章</w:t>
      </w:r>
      <w:r>
        <w:rPr>
          <w:rFonts w:hint="eastAsia" w:ascii="黑体" w:eastAsia="黑体"/>
        </w:rPr>
        <w:tab/>
      </w:r>
      <w:r>
        <w:rPr>
          <w:rFonts w:hint="eastAsia" w:ascii="黑体" w:eastAsia="黑体"/>
        </w:rPr>
        <w:t>支持对象</w:t>
      </w:r>
    </w:p>
    <w:p>
      <w:pPr>
        <w:pStyle w:val="3"/>
        <w:rPr>
          <w:rFonts w:ascii="黑体"/>
        </w:rPr>
      </w:pPr>
    </w:p>
    <w:p>
      <w:pPr>
        <w:pStyle w:val="3"/>
        <w:spacing w:before="8"/>
        <w:rPr>
          <w:rFonts w:ascii="黑体"/>
          <w:sz w:val="29"/>
        </w:rPr>
      </w:pPr>
    </w:p>
    <w:p>
      <w:pPr>
        <w:pStyle w:val="3"/>
        <w:spacing w:before="1" w:line="350" w:lineRule="auto"/>
        <w:ind w:left="113" w:right="1312" w:firstLine="640"/>
        <w:jc w:val="both"/>
      </w:pPr>
      <w:r>
        <w:rPr>
          <w:rFonts w:hint="eastAsia" w:ascii="黑体" w:eastAsia="黑体"/>
          <w:spacing w:val="38"/>
        </w:rPr>
        <w:t xml:space="preserve">第二条 </w:t>
      </w:r>
      <w:r>
        <w:t>本办法适用于从事氢能领域的企业、民办非企业单</w:t>
      </w:r>
      <w:r>
        <w:rPr>
          <w:spacing w:val="-14"/>
        </w:rPr>
        <w:t>位开展科技创新、成果转化、平台建设等，促进产业高质量发展。</w:t>
      </w:r>
    </w:p>
    <w:p>
      <w:pPr>
        <w:pStyle w:val="3"/>
        <w:rPr>
          <w:sz w:val="47"/>
        </w:rPr>
      </w:pPr>
    </w:p>
    <w:p>
      <w:pPr>
        <w:pStyle w:val="3"/>
        <w:tabs>
          <w:tab w:val="left" w:pos="1279"/>
        </w:tabs>
        <w:ind w:right="1360"/>
        <w:jc w:val="center"/>
        <w:rPr>
          <w:rFonts w:hint="eastAsia" w:ascii="黑体" w:eastAsia="黑体"/>
        </w:rPr>
      </w:pPr>
      <w:r>
        <w:rPr>
          <w:rFonts w:hint="eastAsia" w:ascii="黑体" w:eastAsia="黑体"/>
        </w:rPr>
        <w:t>第三章</w:t>
      </w:r>
      <w:r>
        <w:rPr>
          <w:rFonts w:hint="eastAsia" w:ascii="黑体" w:eastAsia="黑体"/>
        </w:rPr>
        <w:tab/>
      </w:r>
      <w:r>
        <w:rPr>
          <w:rFonts w:hint="eastAsia" w:ascii="黑体" w:eastAsia="黑体"/>
        </w:rPr>
        <w:t>支持内容和标准</w:t>
      </w:r>
    </w:p>
    <w:p>
      <w:pPr>
        <w:pStyle w:val="3"/>
        <w:spacing w:before="11"/>
        <w:rPr>
          <w:rFonts w:ascii="黑体"/>
          <w:sz w:val="46"/>
        </w:rPr>
      </w:pPr>
    </w:p>
    <w:p>
      <w:pPr>
        <w:pStyle w:val="3"/>
        <w:spacing w:line="600" w:lineRule="atLeast"/>
        <w:ind w:left="113" w:right="1471" w:firstLine="640"/>
        <w:jc w:val="both"/>
      </w:pPr>
      <w:r>
        <w:rPr>
          <w:rFonts w:hint="eastAsia" w:ascii="黑体" w:eastAsia="黑体"/>
        </w:rPr>
        <w:t xml:space="preserve">第三条 </w:t>
      </w:r>
      <w:r>
        <w:t>支持企业落地发展。企业自注册之日起三年内，对首次纳入规模以上统计范围的禁限目录外的企业，自该年起每年</w:t>
      </w:r>
      <w:r>
        <w:rPr>
          <w:w w:val="95"/>
        </w:rPr>
        <w:t>实现正增长的，连续三年给予资金支持，每家企业每年支持资金</w:t>
      </w:r>
      <w:r>
        <w:pict>
          <v:shape id="_x0000_s1029" o:spid="_x0000_s1029" o:spt="136" type="#_x0000_t136" style="position:absolute;left:0pt;margin-left:14.05pt;margin-top:401.35pt;height:48pt;width:576pt;mso-position-horizontal-relative:page;mso-position-vertical-relative:page;rotation:20643840f;z-index:-251902976;mso-width-relative:page;mso-height-relative:page;" fillcolor="#AAAAAA" filled="t" stroked="f" coordsize="21600,21600">
            <v:path/>
            <v:fill on="t" opacity="32639f" focussize="0,0"/>
            <v:stroke on="f"/>
            <v:imagedata o:title=""/>
            <o:lock v:ext="edit"/>
            <v:textpath on="t" fitpath="t" trim="t" xscale="f" string="北京市大兴区人民政府公报" style="font-family:微软雅黑;font-size:48pt;v-text-align:center;"/>
          </v:shape>
        </w:pict>
      </w:r>
      <w:r>
        <w:t>最高不超过 1000 万元。</w:t>
      </w:r>
    </w:p>
    <w:p>
      <w:pPr>
        <w:pStyle w:val="3"/>
        <w:spacing w:before="190" w:line="350" w:lineRule="auto"/>
        <w:ind w:left="113" w:right="1472" w:firstLine="640"/>
        <w:jc w:val="both"/>
      </w:pPr>
      <w:r>
        <w:rPr>
          <w:rFonts w:hint="eastAsia" w:ascii="黑体" w:eastAsia="黑体"/>
          <w:spacing w:val="37"/>
        </w:rPr>
        <w:t xml:space="preserve">第四条 </w:t>
      </w:r>
      <w:r>
        <w:rPr>
          <w:spacing w:val="-1"/>
        </w:rPr>
        <w:t>支持产业集聚发展。鼓励企业在大兴国际氢能示范</w:t>
      </w:r>
      <w:r>
        <w:rPr>
          <w:spacing w:val="-1"/>
          <w:w w:val="95"/>
        </w:rPr>
        <w:t xml:space="preserve">区集聚落地。企业租赁具有合法合规手续的办公、研发、生产类 </w:t>
      </w:r>
      <w:bookmarkStart w:id="0" w:name="第六条  支持建设创新平台。对上年度首次获得国家级创新中心、国家级重点实验室、国"/>
      <w:bookmarkEnd w:id="0"/>
      <w:r>
        <w:rPr>
          <w:spacing w:val="-5"/>
        </w:rPr>
        <w:t xml:space="preserve">用房，且建筑面积 </w:t>
      </w:r>
      <w:r>
        <w:t>2000</w:t>
      </w:r>
      <w:r>
        <w:rPr>
          <w:spacing w:val="-17"/>
        </w:rPr>
        <w:t xml:space="preserve"> 平方米</w:t>
      </w:r>
      <w:r>
        <w:rPr>
          <w:spacing w:val="7"/>
        </w:rPr>
        <w:t>（含）</w:t>
      </w:r>
      <w:r>
        <w:rPr>
          <w:spacing w:val="5"/>
        </w:rPr>
        <w:t>以下的，经评审，自合同</w:t>
      </w:r>
    </w:p>
    <w:p>
      <w:pPr>
        <w:pStyle w:val="3"/>
        <w:spacing w:line="409" w:lineRule="exact"/>
        <w:ind w:left="113"/>
        <w:jc w:val="both"/>
      </w:pPr>
      <w:r>
        <w:rPr>
          <w:spacing w:val="5"/>
          <w:position w:val="1"/>
        </w:rPr>
        <w:t>签</w:t>
      </w:r>
      <w:r>
        <w:rPr>
          <w:position w:val="1"/>
        </w:rPr>
        <w:t>订</w:t>
      </w:r>
      <w:r>
        <w:rPr>
          <w:spacing w:val="5"/>
          <w:position w:val="1"/>
        </w:rPr>
        <w:t>年度</w:t>
      </w:r>
      <w:r>
        <w:rPr>
          <w:position w:val="1"/>
        </w:rPr>
        <w:t>起</w:t>
      </w:r>
      <w:r>
        <w:rPr>
          <w:spacing w:val="5"/>
          <w:position w:val="1"/>
        </w:rPr>
        <w:t>连续</w:t>
      </w:r>
      <w:r>
        <w:rPr>
          <w:position w:val="1"/>
        </w:rPr>
        <w:t>三</w:t>
      </w:r>
      <w:r>
        <w:rPr>
          <w:spacing w:val="5"/>
          <w:position w:val="1"/>
        </w:rPr>
        <w:t>年给</w:t>
      </w:r>
      <w:r>
        <w:rPr>
          <w:position w:val="1"/>
        </w:rPr>
        <w:t>予</w:t>
      </w:r>
      <w:r>
        <w:rPr>
          <w:spacing w:val="-85"/>
          <w:position w:val="1"/>
        </w:rPr>
        <w:t xml:space="preserve"> </w:t>
      </w:r>
      <w:r>
        <w:rPr>
          <w:spacing w:val="3"/>
          <w:position w:val="1"/>
        </w:rPr>
        <w:t>100</w:t>
      </w:r>
      <w:r>
        <w:rPr>
          <w:spacing w:val="9"/>
          <w:w w:val="99"/>
        </w:rPr>
        <w:drawing>
          <wp:inline distT="0" distB="0" distL="0" distR="0">
            <wp:extent cx="85725" cy="1555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5" cstate="print"/>
                    <a:stretch>
                      <a:fillRect/>
                    </a:stretch>
                  </pic:blipFill>
                  <pic:spPr>
                    <a:xfrm>
                      <a:off x="0" y="0"/>
                      <a:ext cx="85725" cy="155575"/>
                    </a:xfrm>
                    <a:prstGeom prst="rect">
                      <a:avLst/>
                    </a:prstGeom>
                  </pic:spPr>
                </pic:pic>
              </a:graphicData>
            </a:graphic>
          </wp:inline>
        </w:drawing>
      </w:r>
      <w:r>
        <w:rPr>
          <w:spacing w:val="5"/>
          <w:position w:val="1"/>
        </w:rPr>
        <w:t>房</w:t>
      </w:r>
      <w:r>
        <w:rPr>
          <w:position w:val="1"/>
        </w:rPr>
        <w:t>租</w:t>
      </w:r>
      <w:r>
        <w:rPr>
          <w:spacing w:val="5"/>
          <w:position w:val="1"/>
        </w:rPr>
        <w:t>补贴</w:t>
      </w:r>
      <w:r>
        <w:rPr>
          <w:position w:val="1"/>
        </w:rPr>
        <w:t>；</w:t>
      </w:r>
      <w:r>
        <w:rPr>
          <w:spacing w:val="5"/>
          <w:position w:val="1"/>
        </w:rPr>
        <w:t>建筑</w:t>
      </w:r>
      <w:r>
        <w:rPr>
          <w:position w:val="1"/>
        </w:rPr>
        <w:t>面积</w:t>
      </w:r>
      <w:r>
        <w:rPr>
          <w:spacing w:val="-81"/>
          <w:position w:val="1"/>
        </w:rPr>
        <w:t xml:space="preserve"> </w:t>
      </w:r>
      <w:r>
        <w:rPr>
          <w:position w:val="1"/>
        </w:rPr>
        <w:t>2000</w:t>
      </w:r>
      <w:r>
        <w:rPr>
          <w:spacing w:val="-77"/>
          <w:position w:val="1"/>
        </w:rPr>
        <w:t xml:space="preserve"> </w:t>
      </w:r>
      <w:r>
        <w:rPr>
          <w:spacing w:val="5"/>
          <w:position w:val="1"/>
        </w:rPr>
        <w:t>平</w:t>
      </w:r>
      <w:r>
        <w:rPr>
          <w:position w:val="1"/>
        </w:rPr>
        <w:t>方米</w:t>
      </w:r>
    </w:p>
    <w:p>
      <w:pPr>
        <w:pStyle w:val="3"/>
        <w:spacing w:before="200"/>
        <w:ind w:left="113"/>
        <w:jc w:val="both"/>
      </w:pPr>
      <w:r>
        <w:rPr>
          <w:spacing w:val="5"/>
        </w:rPr>
        <w:t>以</w:t>
      </w:r>
      <w:r>
        <w:t>上</w:t>
      </w:r>
      <w:r>
        <w:rPr>
          <w:spacing w:val="5"/>
        </w:rPr>
        <w:t>的</w:t>
      </w:r>
      <w:r>
        <w:t>，</w:t>
      </w:r>
      <w:r>
        <w:rPr>
          <w:spacing w:val="5"/>
        </w:rPr>
        <w:t>经</w:t>
      </w:r>
      <w:r>
        <w:t>评</w:t>
      </w:r>
      <w:r>
        <w:rPr>
          <w:spacing w:val="5"/>
        </w:rPr>
        <w:t>审，</w:t>
      </w:r>
      <w:r>
        <w:t>超</w:t>
      </w:r>
      <w:r>
        <w:rPr>
          <w:spacing w:val="5"/>
        </w:rPr>
        <w:t>出</w:t>
      </w:r>
      <w:r>
        <w:t>面</w:t>
      </w:r>
      <w:r>
        <w:rPr>
          <w:spacing w:val="5"/>
        </w:rPr>
        <w:t>积部</w:t>
      </w:r>
      <w:r>
        <w:t>分</w:t>
      </w:r>
      <w:r>
        <w:rPr>
          <w:spacing w:val="5"/>
        </w:rPr>
        <w:t>按</w:t>
      </w:r>
      <w:r>
        <w:t>照</w:t>
      </w:r>
      <w:r>
        <w:rPr>
          <w:spacing w:val="-85"/>
        </w:rPr>
        <w:t xml:space="preserve"> </w:t>
      </w:r>
      <w:r>
        <w:rPr>
          <w:spacing w:val="5"/>
        </w:rPr>
        <w:t>50</w:t>
      </w:r>
      <w:r>
        <w:rPr>
          <w:spacing w:val="11"/>
          <w:w w:val="99"/>
        </w:rPr>
        <w:drawing>
          <wp:inline distT="0" distB="0" distL="0" distR="0">
            <wp:extent cx="85725" cy="15557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5" cstate="print"/>
                    <a:stretch>
                      <a:fillRect/>
                    </a:stretch>
                  </pic:blipFill>
                  <pic:spPr>
                    <a:xfrm>
                      <a:off x="0" y="0"/>
                      <a:ext cx="85725" cy="155575"/>
                    </a:xfrm>
                    <a:prstGeom prst="rect">
                      <a:avLst/>
                    </a:prstGeom>
                  </pic:spPr>
                </pic:pic>
              </a:graphicData>
            </a:graphic>
          </wp:inline>
        </w:drawing>
      </w:r>
      <w:r>
        <w:rPr>
          <w:spacing w:val="5"/>
          <w:w w:val="95"/>
        </w:rPr>
        <w:t>给</w:t>
      </w:r>
      <w:r>
        <w:rPr>
          <w:w w:val="95"/>
        </w:rPr>
        <w:t>予</w:t>
      </w:r>
      <w:r>
        <w:rPr>
          <w:spacing w:val="5"/>
          <w:w w:val="95"/>
        </w:rPr>
        <w:t>房</w:t>
      </w:r>
      <w:r>
        <w:rPr>
          <w:w w:val="95"/>
        </w:rPr>
        <w:t>租</w:t>
      </w:r>
      <w:r>
        <w:rPr>
          <w:spacing w:val="5"/>
          <w:w w:val="95"/>
        </w:rPr>
        <w:t>补</w:t>
      </w:r>
      <w:r>
        <w:rPr>
          <w:w w:val="95"/>
        </w:rPr>
        <w:t>贴</w:t>
      </w:r>
      <w:r>
        <w:rPr>
          <w:spacing w:val="5"/>
          <w:w w:val="95"/>
        </w:rPr>
        <w:t>。每</w:t>
      </w:r>
      <w:r>
        <w:rPr>
          <w:w w:val="95"/>
        </w:rPr>
        <w:t>家企</w:t>
      </w:r>
    </w:p>
    <w:p>
      <w:pPr>
        <w:pStyle w:val="3"/>
        <w:spacing w:before="185"/>
        <w:ind w:left="113"/>
        <w:jc w:val="both"/>
      </w:pPr>
      <w:bookmarkStart w:id="1" w:name="第七条  支持主导重大课题研究及标准编制。对主导国家级重大科技专项或国家自然科学"/>
      <w:bookmarkEnd w:id="1"/>
      <w:r>
        <w:t>业每年补贴最高不超过 500 万元。</w:t>
      </w:r>
    </w:p>
    <w:p>
      <w:pPr>
        <w:pStyle w:val="3"/>
        <w:spacing w:before="190" w:line="350" w:lineRule="auto"/>
        <w:ind w:left="113" w:right="1467" w:firstLine="640"/>
        <w:jc w:val="both"/>
      </w:pPr>
      <w:r>
        <w:rPr>
          <w:rFonts w:hint="eastAsia" w:ascii="黑体" w:eastAsia="黑体"/>
          <w:spacing w:val="37"/>
        </w:rPr>
        <w:t xml:space="preserve">第五条 </w:t>
      </w:r>
      <w:r>
        <w:rPr>
          <w:spacing w:val="-1"/>
        </w:rPr>
        <w:t>支持科技成果转化。对企业上年度新购置的研发和</w:t>
      </w:r>
      <w:r>
        <w:rPr>
          <w:spacing w:val="-3"/>
        </w:rPr>
        <w:t xml:space="preserve">生产设备投资总额达到 </w:t>
      </w:r>
      <w:r>
        <w:t>1000</w:t>
      </w:r>
      <w:r>
        <w:rPr>
          <w:spacing w:val="-25"/>
        </w:rPr>
        <w:t xml:space="preserve"> 万元</w:t>
      </w:r>
      <w:r>
        <w:rPr>
          <w:spacing w:val="7"/>
        </w:rPr>
        <w:t>（含）</w:t>
      </w:r>
      <w:r>
        <w:rPr>
          <w:spacing w:val="6"/>
        </w:rPr>
        <w:t>以上的，按照设备投资</w:t>
      </w:r>
    </w:p>
    <w:p>
      <w:pPr>
        <w:pStyle w:val="3"/>
        <w:spacing w:line="408" w:lineRule="exact"/>
        <w:ind w:left="113"/>
        <w:jc w:val="both"/>
      </w:pPr>
      <w:r>
        <w:rPr>
          <w:spacing w:val="17"/>
          <w:position w:val="1"/>
        </w:rPr>
        <w:t>总额</w:t>
      </w:r>
      <w:r>
        <w:rPr>
          <w:position w:val="1"/>
        </w:rPr>
        <w:t>的</w:t>
      </w:r>
      <w:r>
        <w:rPr>
          <w:spacing w:val="-70"/>
          <w:position w:val="1"/>
        </w:rPr>
        <w:t xml:space="preserve"> </w:t>
      </w:r>
      <w:r>
        <w:rPr>
          <w:spacing w:val="5"/>
          <w:position w:val="1"/>
        </w:rPr>
        <w:t>20</w:t>
      </w:r>
      <w:r>
        <w:rPr>
          <w:spacing w:val="11"/>
          <w:w w:val="99"/>
        </w:rPr>
        <w:drawing>
          <wp:inline distT="0" distB="0" distL="0" distR="0">
            <wp:extent cx="85725" cy="155575"/>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5" cstate="print"/>
                    <a:stretch>
                      <a:fillRect/>
                    </a:stretch>
                  </pic:blipFill>
                  <pic:spPr>
                    <a:xfrm>
                      <a:off x="0" y="0"/>
                      <a:ext cx="85725" cy="155575"/>
                    </a:xfrm>
                    <a:prstGeom prst="rect">
                      <a:avLst/>
                    </a:prstGeom>
                  </pic:spPr>
                </pic:pic>
              </a:graphicData>
            </a:graphic>
          </wp:inline>
        </w:drawing>
      </w:r>
      <w:r>
        <w:rPr>
          <w:spacing w:val="17"/>
          <w:w w:val="95"/>
          <w:position w:val="1"/>
        </w:rPr>
        <w:t>给予资金支持，每家企业每年支持</w:t>
      </w:r>
      <w:r>
        <w:rPr>
          <w:spacing w:val="14"/>
          <w:w w:val="95"/>
          <w:position w:val="1"/>
        </w:rPr>
        <w:t>资</w:t>
      </w:r>
      <w:r>
        <w:rPr>
          <w:spacing w:val="17"/>
          <w:w w:val="95"/>
          <w:position w:val="1"/>
        </w:rPr>
        <w:t>金最高不</w:t>
      </w:r>
      <w:r>
        <w:rPr>
          <w:spacing w:val="12"/>
          <w:w w:val="95"/>
          <w:position w:val="1"/>
        </w:rPr>
        <w:t>超</w:t>
      </w:r>
      <w:r>
        <w:rPr>
          <w:w w:val="95"/>
          <w:position w:val="1"/>
        </w:rPr>
        <w:t>过</w:t>
      </w:r>
    </w:p>
    <w:p>
      <w:pPr>
        <w:pStyle w:val="3"/>
        <w:spacing w:before="195"/>
        <w:ind w:left="113"/>
        <w:jc w:val="both"/>
      </w:pPr>
      <w:r>
        <w:t>2000 万元。</w:t>
      </w:r>
    </w:p>
    <w:p>
      <w:pPr>
        <w:pStyle w:val="3"/>
        <w:spacing w:before="190" w:line="350" w:lineRule="auto"/>
        <w:ind w:left="113" w:right="1471" w:firstLine="640"/>
        <w:jc w:val="both"/>
      </w:pPr>
      <w:r>
        <w:rPr>
          <w:spacing w:val="11"/>
          <w:w w:val="95"/>
        </w:rPr>
        <w:t xml:space="preserve">对产品被列入国家燃料电池汽车示范城市群关键零部件目 </w:t>
      </w:r>
      <w:r>
        <w:rPr>
          <w:spacing w:val="5"/>
        </w:rPr>
        <w:t>录</w:t>
      </w:r>
      <w:r>
        <w:t>的</w:t>
      </w:r>
      <w:r>
        <w:rPr>
          <w:spacing w:val="5"/>
        </w:rPr>
        <w:t>零</w:t>
      </w:r>
      <w:r>
        <w:t>部</w:t>
      </w:r>
      <w:r>
        <w:rPr>
          <w:spacing w:val="5"/>
        </w:rPr>
        <w:t>件</w:t>
      </w:r>
      <w:r>
        <w:t>生</w:t>
      </w:r>
      <w:r>
        <w:rPr>
          <w:spacing w:val="5"/>
        </w:rPr>
        <w:t>产研</w:t>
      </w:r>
      <w:r>
        <w:t>发</w:t>
      </w:r>
      <w:r>
        <w:rPr>
          <w:spacing w:val="5"/>
        </w:rPr>
        <w:t>企</w:t>
      </w:r>
      <w:r>
        <w:t>业</w:t>
      </w:r>
      <w:r>
        <w:rPr>
          <w:spacing w:val="5"/>
        </w:rPr>
        <w:t>，按</w:t>
      </w:r>
      <w:r>
        <w:t>照</w:t>
      </w:r>
      <w:r>
        <w:rPr>
          <w:spacing w:val="5"/>
        </w:rPr>
        <w:t>国</w:t>
      </w:r>
      <w:r>
        <w:t>家</w:t>
      </w:r>
      <w:r>
        <w:rPr>
          <w:spacing w:val="5"/>
        </w:rPr>
        <w:t>奖</w:t>
      </w:r>
      <w:r>
        <w:t>励</w:t>
      </w:r>
      <w:r>
        <w:rPr>
          <w:spacing w:val="5"/>
        </w:rPr>
        <w:t>资金</w:t>
      </w:r>
      <w:r>
        <w:t>的</w:t>
      </w:r>
      <w:r>
        <w:rPr>
          <w:spacing w:val="-87"/>
        </w:rPr>
        <w:t xml:space="preserve"> </w:t>
      </w:r>
      <w:r>
        <w:rPr>
          <w:spacing w:val="5"/>
        </w:rPr>
        <w:t>30</w:t>
      </w:r>
      <w:r>
        <w:rPr>
          <w:spacing w:val="11"/>
          <w:w w:val="99"/>
        </w:rPr>
        <w:drawing>
          <wp:inline distT="0" distB="0" distL="0" distR="0">
            <wp:extent cx="85725" cy="155575"/>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5" cstate="print"/>
                    <a:stretch>
                      <a:fillRect/>
                    </a:stretch>
                  </pic:blipFill>
                  <pic:spPr>
                    <a:xfrm>
                      <a:off x="0" y="0"/>
                      <a:ext cx="85725" cy="155575"/>
                    </a:xfrm>
                    <a:prstGeom prst="rect">
                      <a:avLst/>
                    </a:prstGeom>
                  </pic:spPr>
                </pic:pic>
              </a:graphicData>
            </a:graphic>
          </wp:inline>
        </w:drawing>
      </w:r>
      <w:r>
        <w:rPr>
          <w:spacing w:val="5"/>
        </w:rPr>
        <w:t>给</w:t>
      </w:r>
      <w:r>
        <w:t>予</w:t>
      </w:r>
      <w:r>
        <w:rPr>
          <w:spacing w:val="5"/>
        </w:rPr>
        <w:t>资</w:t>
      </w:r>
      <w:r>
        <w:t>金支持。</w:t>
      </w:r>
    </w:p>
    <w:p>
      <w:pPr>
        <w:pStyle w:val="3"/>
        <w:tabs>
          <w:tab w:val="left" w:pos="2033"/>
        </w:tabs>
        <w:spacing w:before="4" w:line="350" w:lineRule="auto"/>
        <w:ind w:left="113" w:right="1312" w:firstLine="640"/>
      </w:pPr>
      <w:r>
        <w:rPr>
          <w:rFonts w:hint="eastAsia" w:ascii="黑体" w:hAnsi="黑体" w:eastAsia="黑体"/>
        </w:rPr>
        <w:t>第六条</w:t>
      </w:r>
      <w:r>
        <w:rPr>
          <w:rFonts w:hint="eastAsia" w:ascii="黑体" w:hAnsi="黑体" w:eastAsia="黑体"/>
        </w:rPr>
        <w:tab/>
      </w:r>
      <w:r>
        <w:t>支持建设创新平台</w:t>
      </w:r>
      <w:r>
        <w:rPr>
          <w:spacing w:val="-3"/>
        </w:rPr>
        <w:t>。</w:t>
      </w:r>
      <w:r>
        <w:t>对上年度首次获得国家级创新中心、国家级重点实验室、国家级工程研究中心等资质认定的企业或机构，给予</w:t>
      </w:r>
      <w:r>
        <w:rPr>
          <w:spacing w:val="-77"/>
        </w:rPr>
        <w:t xml:space="preserve"> </w:t>
      </w:r>
      <w:r>
        <w:t>1000</w:t>
      </w:r>
      <w:r>
        <w:rPr>
          <w:spacing w:val="-77"/>
        </w:rPr>
        <w:t xml:space="preserve"> </w:t>
      </w:r>
      <w:r>
        <w:t>万元奖励；对上年度首次获得北京市级技术创新中心</w:t>
      </w:r>
      <w:r>
        <w:rPr>
          <w:spacing w:val="-3"/>
        </w:rPr>
        <w:t>、</w:t>
      </w:r>
      <w:r>
        <w:t>工程研究中心等资质认定且促进区域经济发展的企业或机构，给予</w:t>
      </w:r>
      <w:r>
        <w:rPr>
          <w:spacing w:val="-77"/>
        </w:rPr>
        <w:t xml:space="preserve"> </w:t>
      </w:r>
      <w:r>
        <w:t>200</w:t>
      </w:r>
      <w:r>
        <w:rPr>
          <w:spacing w:val="-77"/>
        </w:rPr>
        <w:t xml:space="preserve"> </w:t>
      </w:r>
      <w:r>
        <w:t>万元奖励;对上年度首次获得国家级、市级专精特</w:t>
      </w:r>
      <w:r>
        <w:rPr>
          <w:spacing w:val="-19"/>
        </w:rPr>
        <w:t>新</w:t>
      </w:r>
      <w:r>
        <w:t>“小巨人</w:t>
      </w:r>
      <w:r>
        <w:rPr>
          <w:spacing w:val="-19"/>
        </w:rPr>
        <w:t>”</w:t>
      </w:r>
      <w:r>
        <w:t>认定的企业</w:t>
      </w:r>
      <w:r>
        <w:rPr>
          <w:spacing w:val="-22"/>
        </w:rPr>
        <w:t>，</w:t>
      </w:r>
      <w:r>
        <w:t>分别给予</w:t>
      </w:r>
      <w:r>
        <w:rPr>
          <w:spacing w:val="-82"/>
        </w:rPr>
        <w:t xml:space="preserve"> </w:t>
      </w:r>
      <w:r>
        <w:t>100</w:t>
      </w:r>
      <w:r>
        <w:rPr>
          <w:spacing w:val="-83"/>
        </w:rPr>
        <w:t xml:space="preserve"> </w:t>
      </w:r>
      <w:r>
        <w:t>万元</w:t>
      </w:r>
      <w:r>
        <w:rPr>
          <w:spacing w:val="-19"/>
        </w:rPr>
        <w:t>、</w:t>
      </w:r>
      <w:r>
        <w:t>50</w:t>
      </w:r>
      <w:r>
        <w:rPr>
          <w:spacing w:val="-81"/>
        </w:rPr>
        <w:t xml:space="preserve"> </w:t>
      </w:r>
      <w:r>
        <w:t>万元奖</w:t>
      </w:r>
      <w:r>
        <w:rPr>
          <w:w w:val="95"/>
        </w:rPr>
        <w:t>励</w:t>
      </w:r>
      <w:r>
        <w:rPr>
          <w:spacing w:val="-80"/>
          <w:w w:val="95"/>
        </w:rPr>
        <w:t>，</w:t>
      </w:r>
      <w:r>
        <w:rPr>
          <w:w w:val="95"/>
        </w:rPr>
        <w:t>实施晋档补差</w:t>
      </w:r>
      <w:r>
        <w:rPr>
          <w:spacing w:val="-80"/>
          <w:w w:val="95"/>
        </w:rPr>
        <w:t>；</w:t>
      </w:r>
      <w:r>
        <w:rPr>
          <w:w w:val="95"/>
        </w:rPr>
        <w:t xml:space="preserve">对上年度首次获得市级专精特新认定的企业， </w:t>
      </w:r>
      <w:r>
        <w:t>给予</w:t>
      </w:r>
      <w:r>
        <w:rPr>
          <w:spacing w:val="-79"/>
        </w:rPr>
        <w:t xml:space="preserve"> </w:t>
      </w:r>
      <w:r>
        <w:t>20</w:t>
      </w:r>
      <w:r>
        <w:rPr>
          <w:spacing w:val="-78"/>
        </w:rPr>
        <w:t xml:space="preserve"> </w:t>
      </w:r>
      <w:r>
        <w:t>万元奖励。</w:t>
      </w:r>
    </w:p>
    <w:p>
      <w:pPr>
        <w:pStyle w:val="3"/>
        <w:spacing w:before="42" w:line="350" w:lineRule="auto"/>
        <w:ind w:right="1471" w:firstLine="640" w:firstLineChars="200"/>
        <w:jc w:val="both"/>
      </w:pPr>
      <w:r>
        <w:rPr>
          <w:rFonts w:hint="eastAsia" w:ascii="黑体" w:eastAsia="黑体"/>
        </w:rPr>
        <w:t>第七条</w:t>
      </w:r>
      <w:r>
        <w:rPr>
          <w:rFonts w:hint="eastAsia" w:ascii="黑体" w:eastAsia="黑体"/>
        </w:rPr>
        <w:tab/>
      </w:r>
      <w:r>
        <w:t>支持主导重大课题研究及标准编制。对主导国家级</w:t>
      </w:r>
      <w:r>
        <w:pict>
          <v:shape id="_x0000_s1030" o:spid="_x0000_s1030" o:spt="136" type="#_x0000_t136" style="position:absolute;left:0pt;margin-left:14.05pt;margin-top:401.35pt;height:48pt;width:576pt;mso-position-horizontal-relative:page;mso-position-vertical-relative:page;rotation:20643840f;z-index:-251901952;mso-width-relative:page;mso-height-relative:page;" fillcolor="#AAAAAA" filled="t" stroked="f" coordsize="21600,21600">
            <v:path/>
            <v:fill on="t" opacity="32639f" focussize="0,0"/>
            <v:stroke on="f"/>
            <v:imagedata o:title=""/>
            <o:lock v:ext="edit"/>
            <v:textpath on="t" fitpath="t" trim="t" xscale="f" string="北京市大兴区人民政府公报" style="font-family:微软雅黑;font-size:48pt;v-text-align:center;"/>
          </v:shape>
        </w:pict>
      </w:r>
      <w:bookmarkStart w:id="2" w:name="对主导编制氢能产业国际标准、国家标准、行业（或团体、地方、军用）标准并发布，且促"/>
      <w:bookmarkEnd w:id="2"/>
      <w:r>
        <w:t>重大科技专项或国家自然科学基金等项目，促进区域发展并结题</w:t>
      </w:r>
      <w:r>
        <w:rPr>
          <w:position w:val="1"/>
        </w:rPr>
        <w:t>的企业或机构，按项目结题时自筹投入资金的</w:t>
      </w:r>
      <w:r>
        <w:rPr>
          <w:spacing w:val="-88"/>
          <w:position w:val="1"/>
        </w:rPr>
        <w:t xml:space="preserve"> </w:t>
      </w:r>
      <w:r>
        <w:rPr>
          <w:spacing w:val="5"/>
          <w:position w:val="1"/>
        </w:rPr>
        <w:t>30</w:t>
      </w:r>
      <w:r>
        <w:rPr>
          <w:spacing w:val="11"/>
          <w:w w:val="99"/>
        </w:rPr>
        <w:drawing>
          <wp:inline distT="0" distB="0" distL="0" distR="0">
            <wp:extent cx="85725" cy="155575"/>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5" cstate="print"/>
                    <a:stretch>
                      <a:fillRect/>
                    </a:stretch>
                  </pic:blipFill>
                  <pic:spPr>
                    <a:xfrm>
                      <a:off x="0" y="0"/>
                      <a:ext cx="85725" cy="155575"/>
                    </a:xfrm>
                    <a:prstGeom prst="rect">
                      <a:avLst/>
                    </a:prstGeom>
                  </pic:spPr>
                </pic:pic>
              </a:graphicData>
            </a:graphic>
          </wp:inline>
        </w:drawing>
      </w:r>
      <w:r>
        <w:rPr>
          <w:position w:val="1"/>
        </w:rPr>
        <w:t>给予支持，单</w:t>
      </w:r>
      <w:r>
        <w:rPr>
          <w:spacing w:val="-7"/>
        </w:rPr>
        <w:t xml:space="preserve">个项目支持资金最高不超过 </w:t>
      </w:r>
      <w:r>
        <w:t>100</w:t>
      </w:r>
      <w:r>
        <w:rPr>
          <w:spacing w:val="-12"/>
        </w:rPr>
        <w:t xml:space="preserve"> 万元；对主导省</w:t>
      </w:r>
      <w:r>
        <w:t xml:space="preserve">（市）级重大科技专项或省（市）级自然科学基金等项目并结题的企业或机构， </w:t>
      </w:r>
      <w:r>
        <w:rPr>
          <w:position w:val="1"/>
        </w:rPr>
        <w:t>按项目结题时自筹投入资金的</w:t>
      </w:r>
      <w:r>
        <w:rPr>
          <w:spacing w:val="-85"/>
          <w:position w:val="1"/>
        </w:rPr>
        <w:t xml:space="preserve"> </w:t>
      </w:r>
      <w:r>
        <w:rPr>
          <w:spacing w:val="5"/>
          <w:position w:val="1"/>
        </w:rPr>
        <w:t>30</w:t>
      </w:r>
      <w:r>
        <w:rPr>
          <w:spacing w:val="11"/>
          <w:w w:val="99"/>
        </w:rPr>
        <w:drawing>
          <wp:inline distT="0" distB="0" distL="0" distR="0">
            <wp:extent cx="85725" cy="155575"/>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pic:cNvPicPr>
                  </pic:nvPicPr>
                  <pic:blipFill>
                    <a:blip r:embed="rId5" cstate="print"/>
                    <a:stretch>
                      <a:fillRect/>
                    </a:stretch>
                  </pic:blipFill>
                  <pic:spPr>
                    <a:xfrm>
                      <a:off x="0" y="0"/>
                      <a:ext cx="85725" cy="155575"/>
                    </a:xfrm>
                    <a:prstGeom prst="rect">
                      <a:avLst/>
                    </a:prstGeom>
                  </pic:spPr>
                </pic:pic>
              </a:graphicData>
            </a:graphic>
          </wp:inline>
        </w:drawing>
      </w:r>
      <w:r>
        <w:rPr>
          <w:position w:val="1"/>
        </w:rPr>
        <w:t>给予支持，单个项目支持资金</w:t>
      </w:r>
    </w:p>
    <w:p>
      <w:pPr>
        <w:pStyle w:val="3"/>
        <w:spacing w:before="7"/>
        <w:ind w:left="113"/>
        <w:jc w:val="both"/>
      </w:pPr>
      <w:r>
        <w:t>最高不超过 50 万元。</w:t>
      </w:r>
    </w:p>
    <w:p>
      <w:pPr>
        <w:pStyle w:val="3"/>
        <w:spacing w:before="190" w:line="350" w:lineRule="auto"/>
        <w:ind w:left="113" w:right="1471" w:firstLine="640"/>
        <w:jc w:val="both"/>
      </w:pPr>
      <w:r>
        <w:t>对主导编制氢能产业国际标准、国家标准、行业（或团体、地方、军用）标准并发布，且促进区域经济发展的企业或机构， 分别给予 100 万元、50 万元和 20 万元的支持资金。</w:t>
      </w:r>
    </w:p>
    <w:p>
      <w:pPr>
        <w:pStyle w:val="3"/>
        <w:tabs>
          <w:tab w:val="left" w:pos="2033"/>
        </w:tabs>
        <w:spacing w:before="4" w:line="350" w:lineRule="auto"/>
        <w:ind w:left="113" w:right="1312" w:firstLine="640"/>
      </w:pPr>
      <w:r>
        <w:rPr>
          <w:rFonts w:hint="eastAsia" w:ascii="黑体" w:eastAsia="黑体"/>
        </w:rPr>
        <w:t>第八条</w:t>
      </w:r>
      <w:r>
        <w:rPr>
          <w:rFonts w:hint="eastAsia" w:ascii="黑体" w:eastAsia="黑体"/>
        </w:rPr>
        <w:tab/>
      </w:r>
      <w:r>
        <w:t>支持企业融资发</w:t>
      </w:r>
      <w:r>
        <w:rPr>
          <w:spacing w:val="3"/>
        </w:rPr>
        <w:t>展</w:t>
      </w:r>
      <w:r>
        <w:t>。企业上年度用于生产、研发等正常经营活动申请的银行贷款或融资租赁，并按约定贷款用途或</w:t>
      </w:r>
      <w:r>
        <w:rPr>
          <w:spacing w:val="12"/>
        </w:rPr>
        <w:t>应</w:t>
      </w:r>
      <w:r>
        <w:rPr>
          <w:spacing w:val="14"/>
        </w:rPr>
        <w:t>用</w:t>
      </w:r>
      <w:r>
        <w:rPr>
          <w:spacing w:val="12"/>
        </w:rPr>
        <w:t>于</w:t>
      </w:r>
      <w:r>
        <w:rPr>
          <w:spacing w:val="14"/>
        </w:rPr>
        <w:t>融</w:t>
      </w:r>
      <w:r>
        <w:rPr>
          <w:spacing w:val="12"/>
        </w:rPr>
        <w:t>资</w:t>
      </w:r>
      <w:r>
        <w:rPr>
          <w:spacing w:val="14"/>
        </w:rPr>
        <w:t>租</w:t>
      </w:r>
      <w:r>
        <w:rPr>
          <w:spacing w:val="12"/>
        </w:rPr>
        <w:t>赁项</w:t>
      </w:r>
      <w:r>
        <w:rPr>
          <w:spacing w:val="14"/>
        </w:rPr>
        <w:t>目</w:t>
      </w:r>
      <w:r>
        <w:rPr>
          <w:spacing w:val="12"/>
        </w:rPr>
        <w:t>实</w:t>
      </w:r>
      <w:r>
        <w:rPr>
          <w:spacing w:val="14"/>
        </w:rPr>
        <w:t>际</w:t>
      </w:r>
      <w:r>
        <w:rPr>
          <w:spacing w:val="12"/>
        </w:rPr>
        <w:t>使</w:t>
      </w:r>
      <w:r>
        <w:rPr>
          <w:spacing w:val="14"/>
        </w:rPr>
        <w:t>用</w:t>
      </w:r>
      <w:r>
        <w:rPr>
          <w:spacing w:val="12"/>
        </w:rPr>
        <w:t>的，</w:t>
      </w:r>
      <w:r>
        <w:rPr>
          <w:spacing w:val="14"/>
        </w:rPr>
        <w:t>按</w:t>
      </w:r>
      <w:r>
        <w:rPr>
          <w:spacing w:val="12"/>
        </w:rPr>
        <w:t>照</w:t>
      </w:r>
      <w:r>
        <w:rPr>
          <w:spacing w:val="14"/>
        </w:rPr>
        <w:t>一</w:t>
      </w:r>
      <w:r>
        <w:rPr>
          <w:spacing w:val="12"/>
        </w:rPr>
        <w:t>年</w:t>
      </w:r>
      <w:r>
        <w:rPr>
          <w:spacing w:val="14"/>
        </w:rPr>
        <w:t>期</w:t>
      </w:r>
      <w:r>
        <w:rPr>
          <w:spacing w:val="12"/>
        </w:rPr>
        <w:t>银行</w:t>
      </w:r>
      <w:r>
        <w:rPr>
          <w:spacing w:val="14"/>
        </w:rPr>
        <w:t>贷</w:t>
      </w:r>
      <w:r>
        <w:rPr>
          <w:spacing w:val="12"/>
        </w:rPr>
        <w:t>款</w:t>
      </w:r>
      <w:r>
        <w:rPr>
          <w:spacing w:val="14"/>
        </w:rPr>
        <w:t>基</w:t>
      </w:r>
      <w:r>
        <w:rPr>
          <w:spacing w:val="12"/>
        </w:rPr>
        <w:t>准</w:t>
      </w:r>
      <w:r>
        <w:t>利率</w:t>
      </w:r>
      <w:r>
        <w:rPr>
          <w:spacing w:val="-80"/>
        </w:rPr>
        <w:t>，</w:t>
      </w:r>
      <w:r>
        <w:t>给予最高不超过三年</w:t>
      </w:r>
      <w:r>
        <w:rPr>
          <w:spacing w:val="-79"/>
        </w:rPr>
        <w:t>、</w:t>
      </w:r>
      <w:r>
        <w:t>每年最高不超过</w:t>
      </w:r>
      <w:r>
        <w:rPr>
          <w:spacing w:val="-88"/>
        </w:rPr>
        <w:t xml:space="preserve"> </w:t>
      </w:r>
      <w:r>
        <w:t>500</w:t>
      </w:r>
      <w:r>
        <w:rPr>
          <w:spacing w:val="-85"/>
        </w:rPr>
        <w:t xml:space="preserve"> </w:t>
      </w:r>
      <w:r>
        <w:t xml:space="preserve">万元的贴息支持， </w:t>
      </w:r>
      <w:r>
        <w:rPr>
          <w:spacing w:val="12"/>
        </w:rPr>
        <w:t>贴</w:t>
      </w:r>
      <w:r>
        <w:rPr>
          <w:spacing w:val="14"/>
        </w:rPr>
        <w:t>息</w:t>
      </w:r>
      <w:r>
        <w:rPr>
          <w:spacing w:val="12"/>
        </w:rPr>
        <w:t>利</w:t>
      </w:r>
      <w:r>
        <w:rPr>
          <w:spacing w:val="14"/>
        </w:rPr>
        <w:t>率</w:t>
      </w:r>
      <w:r>
        <w:rPr>
          <w:spacing w:val="12"/>
        </w:rPr>
        <w:t>以</w:t>
      </w:r>
      <w:r>
        <w:rPr>
          <w:spacing w:val="14"/>
        </w:rPr>
        <w:t>实</w:t>
      </w:r>
      <w:r>
        <w:rPr>
          <w:spacing w:val="12"/>
        </w:rPr>
        <w:t>际发</w:t>
      </w:r>
      <w:r>
        <w:rPr>
          <w:spacing w:val="14"/>
        </w:rPr>
        <w:t>生</w:t>
      </w:r>
      <w:r>
        <w:rPr>
          <w:spacing w:val="12"/>
        </w:rPr>
        <w:t>为</w:t>
      </w:r>
      <w:r>
        <w:rPr>
          <w:spacing w:val="14"/>
        </w:rPr>
        <w:t>准</w:t>
      </w:r>
      <w:r>
        <w:rPr>
          <w:spacing w:val="12"/>
        </w:rPr>
        <w:t>，</w:t>
      </w:r>
      <w:r>
        <w:rPr>
          <w:spacing w:val="14"/>
        </w:rPr>
        <w:t>不</w:t>
      </w:r>
      <w:r>
        <w:rPr>
          <w:spacing w:val="12"/>
        </w:rPr>
        <w:t>高于</w:t>
      </w:r>
      <w:r>
        <w:rPr>
          <w:spacing w:val="14"/>
        </w:rPr>
        <w:t>上</w:t>
      </w:r>
      <w:r>
        <w:rPr>
          <w:spacing w:val="12"/>
        </w:rPr>
        <w:t>年</w:t>
      </w:r>
      <w:r>
        <w:rPr>
          <w:spacing w:val="14"/>
        </w:rPr>
        <w:t>度</w:t>
      </w:r>
      <w:r>
        <w:rPr>
          <w:spacing w:val="12"/>
        </w:rPr>
        <w:t>银</w:t>
      </w:r>
      <w:r>
        <w:rPr>
          <w:spacing w:val="14"/>
        </w:rPr>
        <w:t>行</w:t>
      </w:r>
      <w:r>
        <w:rPr>
          <w:spacing w:val="12"/>
        </w:rPr>
        <w:t>同期</w:t>
      </w:r>
      <w:r>
        <w:rPr>
          <w:spacing w:val="14"/>
        </w:rPr>
        <w:t>贷</w:t>
      </w:r>
      <w:r>
        <w:rPr>
          <w:spacing w:val="12"/>
        </w:rPr>
        <w:t>款</w:t>
      </w:r>
      <w:r>
        <w:rPr>
          <w:spacing w:val="14"/>
        </w:rPr>
        <w:t>基</w:t>
      </w:r>
      <w:r>
        <w:rPr>
          <w:spacing w:val="12"/>
        </w:rPr>
        <w:t>准</w:t>
      </w:r>
      <w:r>
        <w:t>利率</w:t>
      </w:r>
      <w:r>
        <w:rPr>
          <w:spacing w:val="-159"/>
        </w:rPr>
        <w:t>。</w:t>
      </w:r>
      <w:r>
        <w:t>（第五条与第八条不重复享受）</w:t>
      </w:r>
    </w:p>
    <w:p>
      <w:pPr>
        <w:pStyle w:val="3"/>
        <w:spacing w:before="9" w:line="350" w:lineRule="auto"/>
        <w:ind w:left="113" w:right="1471" w:firstLine="640"/>
        <w:jc w:val="both"/>
      </w:pPr>
      <w:r>
        <w:rPr>
          <w:rFonts w:hint="eastAsia" w:ascii="黑体" w:eastAsia="黑体"/>
          <w:spacing w:val="37"/>
        </w:rPr>
        <w:t xml:space="preserve">第九条 </w:t>
      </w:r>
      <w:r>
        <w:rPr>
          <w:spacing w:val="-1"/>
        </w:rPr>
        <w:t>支持上下游企业协同发展。对企业在上年度采购燃</w:t>
      </w:r>
      <w:r>
        <w:t>料电池汽车零部件产品年累计采购金额达到 1000</w:t>
      </w:r>
      <w:r>
        <w:rPr>
          <w:spacing w:val="-24"/>
        </w:rPr>
        <w:t xml:space="preserve"> 万元</w:t>
      </w:r>
      <w:r>
        <w:rPr>
          <w:spacing w:val="7"/>
        </w:rPr>
        <w:t>（含）</w:t>
      </w:r>
      <w:r>
        <w:t>以</w:t>
      </w:r>
      <w:r>
        <w:rPr>
          <w:spacing w:val="-22"/>
        </w:rPr>
        <w:t xml:space="preserve">上的，在 </w:t>
      </w:r>
      <w:r>
        <w:t>2022</w:t>
      </w:r>
      <w:r>
        <w:rPr>
          <w:spacing w:val="-35"/>
        </w:rPr>
        <w:t xml:space="preserve"> 年、</w:t>
      </w:r>
      <w:r>
        <w:t>2023</w:t>
      </w:r>
      <w:r>
        <w:rPr>
          <w:spacing w:val="-34"/>
        </w:rPr>
        <w:t xml:space="preserve"> 年、</w:t>
      </w:r>
      <w:r>
        <w:t>2024</w:t>
      </w:r>
      <w:r>
        <w:rPr>
          <w:spacing w:val="-34"/>
        </w:rPr>
        <w:t xml:space="preserve"> 年、</w:t>
      </w:r>
      <w:r>
        <w:t>2025</w:t>
      </w:r>
      <w:r>
        <w:rPr>
          <w:spacing w:val="-10"/>
        </w:rPr>
        <w:t xml:space="preserve"> 年分别按经评审的年采购金额的</w:t>
      </w:r>
      <w:r>
        <w:rPr>
          <w:spacing w:val="-82"/>
        </w:rPr>
        <w:t xml:space="preserve"> </w:t>
      </w:r>
      <w:r>
        <w:rPr>
          <w:spacing w:val="9"/>
        </w:rPr>
        <w:t>5</w:t>
      </w:r>
      <w:r>
        <w:rPr>
          <w:spacing w:val="9"/>
          <w:w w:val="99"/>
        </w:rPr>
        <w:drawing>
          <wp:inline distT="0" distB="0" distL="0" distR="0">
            <wp:extent cx="85725" cy="155575"/>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pic:cNvPicPr>
                  </pic:nvPicPr>
                  <pic:blipFill>
                    <a:blip r:embed="rId5" cstate="print"/>
                    <a:stretch>
                      <a:fillRect/>
                    </a:stretch>
                  </pic:blipFill>
                  <pic:spPr>
                    <a:xfrm>
                      <a:off x="0" y="0"/>
                      <a:ext cx="85725" cy="155575"/>
                    </a:xfrm>
                    <a:prstGeom prst="rect">
                      <a:avLst/>
                    </a:prstGeom>
                  </pic:spPr>
                </pic:pic>
              </a:graphicData>
            </a:graphic>
          </wp:inline>
        </w:drawing>
      </w:r>
      <w:r>
        <w:rPr>
          <w:spacing w:val="-19"/>
          <w:w w:val="95"/>
        </w:rPr>
        <w:t>、</w:t>
      </w:r>
      <w:r>
        <w:rPr>
          <w:spacing w:val="9"/>
          <w:w w:val="95"/>
        </w:rPr>
        <w:t>5</w:t>
      </w:r>
      <w:r>
        <w:rPr>
          <w:spacing w:val="-130"/>
          <w:w w:val="95"/>
        </w:rPr>
        <w:t xml:space="preserve"> </w:t>
      </w:r>
      <w:r>
        <w:rPr>
          <w:spacing w:val="9"/>
          <w:w w:val="99"/>
        </w:rPr>
        <w:drawing>
          <wp:inline distT="0" distB="0" distL="0" distR="0">
            <wp:extent cx="85725" cy="155575"/>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a:picLocks noChangeAspect="1"/>
                    </pic:cNvPicPr>
                  </pic:nvPicPr>
                  <pic:blipFill>
                    <a:blip r:embed="rId5" cstate="print"/>
                    <a:stretch>
                      <a:fillRect/>
                    </a:stretch>
                  </pic:blipFill>
                  <pic:spPr>
                    <a:xfrm>
                      <a:off x="0" y="0"/>
                      <a:ext cx="85725" cy="155575"/>
                    </a:xfrm>
                    <a:prstGeom prst="rect">
                      <a:avLst/>
                    </a:prstGeom>
                  </pic:spPr>
                </pic:pic>
              </a:graphicData>
            </a:graphic>
          </wp:inline>
        </w:drawing>
      </w:r>
      <w:r>
        <w:rPr>
          <w:spacing w:val="-22"/>
          <w:w w:val="95"/>
        </w:rPr>
        <w:t>、</w:t>
      </w:r>
      <w:r>
        <w:rPr>
          <w:spacing w:val="9"/>
          <w:w w:val="95"/>
        </w:rPr>
        <w:t>3</w:t>
      </w:r>
      <w:r>
        <w:rPr>
          <w:spacing w:val="-129"/>
          <w:w w:val="95"/>
        </w:rPr>
        <w:t xml:space="preserve"> </w:t>
      </w:r>
      <w:r>
        <w:rPr>
          <w:spacing w:val="9"/>
          <w:w w:val="99"/>
        </w:rPr>
        <w:drawing>
          <wp:inline distT="0" distB="0" distL="0" distR="0">
            <wp:extent cx="85725" cy="155575"/>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a:picLocks noChangeAspect="1"/>
                    </pic:cNvPicPr>
                  </pic:nvPicPr>
                  <pic:blipFill>
                    <a:blip r:embed="rId5" cstate="print"/>
                    <a:stretch>
                      <a:fillRect/>
                    </a:stretch>
                  </pic:blipFill>
                  <pic:spPr>
                    <a:xfrm>
                      <a:off x="0" y="0"/>
                      <a:ext cx="85725" cy="155575"/>
                    </a:xfrm>
                    <a:prstGeom prst="rect">
                      <a:avLst/>
                    </a:prstGeom>
                  </pic:spPr>
                </pic:pic>
              </a:graphicData>
            </a:graphic>
          </wp:inline>
        </w:drawing>
      </w:r>
      <w:r>
        <w:rPr>
          <w:spacing w:val="-19"/>
          <w:w w:val="95"/>
        </w:rPr>
        <w:t>、</w:t>
      </w:r>
      <w:r>
        <w:rPr>
          <w:spacing w:val="9"/>
          <w:w w:val="95"/>
        </w:rPr>
        <w:t>3</w:t>
      </w:r>
      <w:r>
        <w:rPr>
          <w:spacing w:val="-130"/>
          <w:w w:val="95"/>
        </w:rPr>
        <w:t xml:space="preserve"> </w:t>
      </w:r>
      <w:r>
        <w:rPr>
          <w:spacing w:val="9"/>
          <w:w w:val="99"/>
        </w:rPr>
        <w:drawing>
          <wp:inline distT="0" distB="0" distL="0" distR="0">
            <wp:extent cx="85725" cy="155575"/>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pic:cNvPicPr>
                      <a:picLocks noChangeAspect="1"/>
                    </pic:cNvPicPr>
                  </pic:nvPicPr>
                  <pic:blipFill>
                    <a:blip r:embed="rId5" cstate="print"/>
                    <a:stretch>
                      <a:fillRect/>
                    </a:stretch>
                  </pic:blipFill>
                  <pic:spPr>
                    <a:xfrm>
                      <a:off x="0" y="0"/>
                      <a:ext cx="85725" cy="155575"/>
                    </a:xfrm>
                    <a:prstGeom prst="rect">
                      <a:avLst/>
                    </a:prstGeom>
                  </pic:spPr>
                </pic:pic>
              </a:graphicData>
            </a:graphic>
          </wp:inline>
        </w:drawing>
      </w:r>
      <w:r>
        <w:t>给予采购企业资金支持</w:t>
      </w:r>
      <w:r>
        <w:rPr>
          <w:spacing w:val="-22"/>
        </w:rPr>
        <w:t>，</w:t>
      </w:r>
      <w:r>
        <w:t>每家企业每</w:t>
      </w:r>
      <w:r>
        <w:rPr>
          <w:spacing w:val="-8"/>
        </w:rPr>
        <w:t xml:space="preserve">年支持资金最高不超过 </w:t>
      </w:r>
      <w:r>
        <w:t>1000</w:t>
      </w:r>
      <w:r>
        <w:rPr>
          <w:spacing w:val="-20"/>
        </w:rPr>
        <w:t xml:space="preserve"> 万元。</w:t>
      </w:r>
    </w:p>
    <w:p>
      <w:pPr>
        <w:pStyle w:val="3"/>
        <w:spacing w:before="7" w:line="350" w:lineRule="auto"/>
        <w:ind w:left="113" w:right="1312" w:firstLine="640"/>
        <w:jc w:val="both"/>
      </w:pPr>
      <w:r>
        <w:t>对采购燃料电池关键零部件装备，应用于氢能综合应用等示</w:t>
      </w:r>
      <w:r>
        <w:rPr>
          <w:spacing w:val="-5"/>
        </w:rPr>
        <w:t xml:space="preserve">范场景的企业，且年累计采购金额达到 </w:t>
      </w:r>
      <w:r>
        <w:t>1000</w:t>
      </w:r>
      <w:r>
        <w:rPr>
          <w:spacing w:val="-29"/>
        </w:rPr>
        <w:t xml:space="preserve"> 万元</w:t>
      </w:r>
      <w:r>
        <w:t>（含）以上的，</w:t>
      </w:r>
    </w:p>
    <w:p>
      <w:pPr>
        <w:pStyle w:val="3"/>
        <w:spacing w:line="408" w:lineRule="exact"/>
        <w:ind w:left="113"/>
        <w:jc w:val="both"/>
      </w:pPr>
      <w:r>
        <w:rPr>
          <w:position w:val="1"/>
        </w:rPr>
        <w:t>按经评审的年采购金额的</w:t>
      </w:r>
      <w:r>
        <w:rPr>
          <w:spacing w:val="-84"/>
          <w:position w:val="1"/>
        </w:rPr>
        <w:t xml:space="preserve"> </w:t>
      </w:r>
      <w:r>
        <w:rPr>
          <w:spacing w:val="9"/>
          <w:position w:val="1"/>
        </w:rPr>
        <w:t>5</w:t>
      </w:r>
      <w:r>
        <w:rPr>
          <w:spacing w:val="9"/>
          <w:w w:val="99"/>
        </w:rPr>
        <w:drawing>
          <wp:inline distT="0" distB="0" distL="0" distR="0">
            <wp:extent cx="85725" cy="155575"/>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png"/>
                    <pic:cNvPicPr>
                      <a:picLocks noChangeAspect="1"/>
                    </pic:cNvPicPr>
                  </pic:nvPicPr>
                  <pic:blipFill>
                    <a:blip r:embed="rId5" cstate="print"/>
                    <a:stretch>
                      <a:fillRect/>
                    </a:stretch>
                  </pic:blipFill>
                  <pic:spPr>
                    <a:xfrm>
                      <a:off x="0" y="0"/>
                      <a:ext cx="85725" cy="155575"/>
                    </a:xfrm>
                    <a:prstGeom prst="rect">
                      <a:avLst/>
                    </a:prstGeom>
                  </pic:spPr>
                </pic:pic>
              </a:graphicData>
            </a:graphic>
          </wp:inline>
        </w:drawing>
      </w:r>
      <w:r>
        <w:rPr>
          <w:position w:val="1"/>
        </w:rPr>
        <w:t>给予资金支持</w:t>
      </w:r>
      <w:r>
        <w:rPr>
          <w:spacing w:val="-80"/>
          <w:position w:val="1"/>
        </w:rPr>
        <w:t>，</w:t>
      </w:r>
      <w:r>
        <w:rPr>
          <w:position w:val="1"/>
        </w:rPr>
        <w:t>每家企业每年支持资</w:t>
      </w:r>
    </w:p>
    <w:p>
      <w:pPr>
        <w:pStyle w:val="3"/>
        <w:spacing w:before="42"/>
        <w:ind w:left="113"/>
      </w:pPr>
      <w:r>
        <w:pict>
          <v:shape id="_x0000_s1031" o:spid="_x0000_s1031" o:spt="136" type="#_x0000_t136" style="position:absolute;left:0pt;margin-left:14.05pt;margin-top:401.35pt;height:48pt;width:576pt;mso-position-horizontal-relative:page;mso-position-vertical-relative:page;rotation:20643840f;z-index:-251900928;mso-width-relative:page;mso-height-relative:page;" fillcolor="#AAAAAA" filled="t" stroked="f" coordsize="21600,21600">
            <v:path/>
            <v:fill on="t" opacity="32639f" focussize="0,0"/>
            <v:stroke on="f"/>
            <v:imagedata o:title=""/>
            <o:lock v:ext="edit"/>
            <v:textpath on="t" fitpath="t" trim="t" xscale="f" string="北京市大兴区人民政府公报" style="font-family:微软雅黑;font-size:48pt;v-text-align:center;"/>
          </v:shape>
        </w:pict>
      </w:r>
      <w:r>
        <w:t>金最高不超过 1000 万元。</w:t>
      </w:r>
    </w:p>
    <w:p>
      <w:pPr>
        <w:pStyle w:val="3"/>
        <w:tabs>
          <w:tab w:val="left" w:pos="2033"/>
        </w:tabs>
        <w:spacing w:before="190" w:line="350" w:lineRule="auto"/>
        <w:ind w:left="113" w:right="1312" w:firstLine="640"/>
      </w:pPr>
      <w:r>
        <w:rPr>
          <w:rFonts w:hint="eastAsia" w:ascii="黑体" w:eastAsia="黑体"/>
        </w:rPr>
        <w:t>第十条</w:t>
      </w:r>
      <w:r>
        <w:rPr>
          <w:rFonts w:hint="eastAsia" w:ascii="黑体" w:eastAsia="黑体"/>
        </w:rPr>
        <w:tab/>
      </w:r>
      <w:r>
        <w:t>支持车辆推广应</w:t>
      </w:r>
      <w:r>
        <w:rPr>
          <w:spacing w:val="3"/>
        </w:rPr>
        <w:t>用</w:t>
      </w:r>
      <w:r>
        <w:rPr>
          <w:spacing w:val="-3"/>
        </w:rPr>
        <w:t>。</w:t>
      </w:r>
      <w:r>
        <w:t>鼓励支持燃料电池车辆在路权通行、高速收费等方面的政策突破和先行先试，鼓励新增和更新</w:t>
      </w:r>
      <w:r>
        <w:rPr>
          <w:w w:val="95"/>
        </w:rPr>
        <w:t>的市政工程车辆优先使用燃料电池汽</w:t>
      </w:r>
      <w:r>
        <w:rPr>
          <w:spacing w:val="3"/>
          <w:w w:val="95"/>
        </w:rPr>
        <w:t>车</w:t>
      </w:r>
      <w:r>
        <w:rPr>
          <w:spacing w:val="-53"/>
          <w:w w:val="95"/>
        </w:rPr>
        <w:t>，</w:t>
      </w:r>
      <w:r>
        <w:rPr>
          <w:w w:val="95"/>
        </w:rPr>
        <w:t>鼓励物流</w:t>
      </w:r>
      <w:r>
        <w:rPr>
          <w:spacing w:val="-53"/>
          <w:w w:val="95"/>
        </w:rPr>
        <w:t>、</w:t>
      </w:r>
      <w:r>
        <w:rPr>
          <w:w w:val="95"/>
        </w:rPr>
        <w:t>自卸</w:t>
      </w:r>
      <w:r>
        <w:rPr>
          <w:spacing w:val="-53"/>
          <w:w w:val="95"/>
        </w:rPr>
        <w:t>、</w:t>
      </w:r>
      <w:r>
        <w:rPr>
          <w:w w:val="95"/>
        </w:rPr>
        <w:t xml:space="preserve">牵引、 </w:t>
      </w:r>
      <w:r>
        <w:t>环卫、旅游、通勤等领域车辆新增或更换为燃料电池汽车。</w:t>
      </w:r>
    </w:p>
    <w:p>
      <w:pPr>
        <w:pStyle w:val="3"/>
        <w:spacing w:before="6" w:line="352" w:lineRule="auto"/>
        <w:ind w:left="113" w:right="1469" w:firstLine="640"/>
        <w:jc w:val="both"/>
      </w:pPr>
      <w:r>
        <w:rPr>
          <w:spacing w:val="-1"/>
        </w:rPr>
        <w:t>支持企业采购燃料电池汽车，对企业在燃料电池汽车示范城</w:t>
      </w:r>
      <w:r>
        <w:rPr>
          <w:spacing w:val="11"/>
          <w:w w:val="95"/>
        </w:rPr>
        <w:t xml:space="preserve">市群示范期内年度购买的燃料电池汽车分别按照国家奖励资金 </w:t>
      </w:r>
      <w:r>
        <w:rPr>
          <w:spacing w:val="11"/>
        </w:rPr>
        <w:t>标准的</w:t>
      </w:r>
      <w:r>
        <w:rPr>
          <w:spacing w:val="-84"/>
        </w:rPr>
        <w:t xml:space="preserve"> </w:t>
      </w:r>
      <w:r>
        <w:rPr>
          <w:spacing w:val="5"/>
        </w:rPr>
        <w:t>40</w:t>
      </w:r>
      <w:r>
        <w:rPr>
          <w:spacing w:val="11"/>
          <w:w w:val="99"/>
        </w:rPr>
        <w:drawing>
          <wp:inline distT="0" distB="0" distL="0" distR="0">
            <wp:extent cx="85725" cy="155575"/>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a:picLocks noChangeAspect="1"/>
                    </pic:cNvPicPr>
                  </pic:nvPicPr>
                  <pic:blipFill>
                    <a:blip r:embed="rId5" cstate="print"/>
                    <a:stretch>
                      <a:fillRect/>
                    </a:stretch>
                  </pic:blipFill>
                  <pic:spPr>
                    <a:xfrm>
                      <a:off x="0" y="0"/>
                      <a:ext cx="85725" cy="155575"/>
                    </a:xfrm>
                    <a:prstGeom prst="rect">
                      <a:avLst/>
                    </a:prstGeom>
                  </pic:spPr>
                </pic:pic>
              </a:graphicData>
            </a:graphic>
          </wp:inline>
        </w:drawing>
      </w:r>
      <w:r>
        <w:t>、</w:t>
      </w:r>
      <w:r>
        <w:rPr>
          <w:spacing w:val="5"/>
        </w:rPr>
        <w:t>30</w:t>
      </w:r>
      <w:r>
        <w:rPr>
          <w:spacing w:val="11"/>
          <w:w w:val="99"/>
        </w:rPr>
        <w:drawing>
          <wp:inline distT="0" distB="0" distL="0" distR="0">
            <wp:extent cx="85725" cy="155575"/>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pic:cNvPicPr>
                      <a:picLocks noChangeAspect="1"/>
                    </pic:cNvPicPr>
                  </pic:nvPicPr>
                  <pic:blipFill>
                    <a:blip r:embed="rId5" cstate="print"/>
                    <a:stretch>
                      <a:fillRect/>
                    </a:stretch>
                  </pic:blipFill>
                  <pic:spPr>
                    <a:xfrm>
                      <a:off x="0" y="0"/>
                      <a:ext cx="85725" cy="155575"/>
                    </a:xfrm>
                    <a:prstGeom prst="rect">
                      <a:avLst/>
                    </a:prstGeom>
                  </pic:spPr>
                </pic:pic>
              </a:graphicData>
            </a:graphic>
          </wp:inline>
        </w:drawing>
      </w:r>
      <w:r>
        <w:rPr>
          <w:w w:val="95"/>
        </w:rPr>
        <w:t>、</w:t>
      </w:r>
      <w:r>
        <w:rPr>
          <w:spacing w:val="5"/>
          <w:w w:val="95"/>
        </w:rPr>
        <w:t>20</w:t>
      </w:r>
      <w:r>
        <w:rPr>
          <w:spacing w:val="-122"/>
          <w:w w:val="95"/>
        </w:rPr>
        <w:t xml:space="preserve"> </w:t>
      </w:r>
      <w:r>
        <w:rPr>
          <w:spacing w:val="11"/>
          <w:w w:val="99"/>
        </w:rPr>
        <w:drawing>
          <wp:inline distT="0" distB="0" distL="0" distR="0">
            <wp:extent cx="85725" cy="155575"/>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pic:cNvPicPr>
                      <a:picLocks noChangeAspect="1"/>
                    </pic:cNvPicPr>
                  </pic:nvPicPr>
                  <pic:blipFill>
                    <a:blip r:embed="rId5" cstate="print"/>
                    <a:stretch>
                      <a:fillRect/>
                    </a:stretch>
                  </pic:blipFill>
                  <pic:spPr>
                    <a:xfrm>
                      <a:off x="0" y="0"/>
                      <a:ext cx="85725" cy="155575"/>
                    </a:xfrm>
                    <a:prstGeom prst="rect">
                      <a:avLst/>
                    </a:prstGeom>
                  </pic:spPr>
                </pic:pic>
              </a:graphicData>
            </a:graphic>
          </wp:inline>
        </w:drawing>
      </w:r>
      <w:r>
        <w:rPr>
          <w:w w:val="95"/>
        </w:rPr>
        <w:t>、</w:t>
      </w:r>
      <w:r>
        <w:rPr>
          <w:spacing w:val="5"/>
          <w:w w:val="95"/>
        </w:rPr>
        <w:t>10</w:t>
      </w:r>
      <w:r>
        <w:rPr>
          <w:spacing w:val="-122"/>
          <w:w w:val="95"/>
        </w:rPr>
        <w:t xml:space="preserve"> </w:t>
      </w:r>
      <w:r>
        <w:rPr>
          <w:spacing w:val="11"/>
          <w:w w:val="99"/>
        </w:rPr>
        <w:drawing>
          <wp:inline distT="0" distB="0" distL="0" distR="0">
            <wp:extent cx="85725" cy="155575"/>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png"/>
                    <pic:cNvPicPr>
                      <a:picLocks noChangeAspect="1"/>
                    </pic:cNvPicPr>
                  </pic:nvPicPr>
                  <pic:blipFill>
                    <a:blip r:embed="rId5" cstate="print"/>
                    <a:stretch>
                      <a:fillRect/>
                    </a:stretch>
                  </pic:blipFill>
                  <pic:spPr>
                    <a:xfrm>
                      <a:off x="0" y="0"/>
                      <a:ext cx="85725" cy="155575"/>
                    </a:xfrm>
                    <a:prstGeom prst="rect">
                      <a:avLst/>
                    </a:prstGeom>
                  </pic:spPr>
                </pic:pic>
              </a:graphicData>
            </a:graphic>
          </wp:inline>
        </w:drawing>
      </w:r>
      <w:r>
        <w:t>给予资金支持。</w:t>
      </w:r>
    </w:p>
    <w:p>
      <w:pPr>
        <w:pStyle w:val="3"/>
        <w:spacing w:line="350" w:lineRule="auto"/>
        <w:ind w:left="113" w:right="1470" w:firstLine="640"/>
        <w:jc w:val="both"/>
      </w:pPr>
      <w:r>
        <w:t>支持企业采购燃料电池叉车等交通工具，对企业在上年度购</w:t>
      </w:r>
      <w:r>
        <w:rPr>
          <w:spacing w:val="5"/>
          <w:position w:val="1"/>
        </w:rPr>
        <w:t>买</w:t>
      </w:r>
      <w:r>
        <w:rPr>
          <w:position w:val="1"/>
        </w:rPr>
        <w:t>的</w:t>
      </w:r>
      <w:r>
        <w:rPr>
          <w:spacing w:val="5"/>
          <w:position w:val="1"/>
        </w:rPr>
        <w:t>燃</w:t>
      </w:r>
      <w:r>
        <w:rPr>
          <w:position w:val="1"/>
        </w:rPr>
        <w:t>料</w:t>
      </w:r>
      <w:r>
        <w:rPr>
          <w:spacing w:val="5"/>
          <w:position w:val="1"/>
        </w:rPr>
        <w:t>电</w:t>
      </w:r>
      <w:r>
        <w:rPr>
          <w:position w:val="1"/>
        </w:rPr>
        <w:t>池</w:t>
      </w:r>
      <w:r>
        <w:rPr>
          <w:spacing w:val="5"/>
          <w:position w:val="1"/>
        </w:rPr>
        <w:t>叉车</w:t>
      </w:r>
      <w:r>
        <w:rPr>
          <w:position w:val="1"/>
        </w:rPr>
        <w:t>等</w:t>
      </w:r>
      <w:r>
        <w:rPr>
          <w:spacing w:val="5"/>
          <w:position w:val="1"/>
        </w:rPr>
        <w:t>交</w:t>
      </w:r>
      <w:r>
        <w:rPr>
          <w:position w:val="1"/>
        </w:rPr>
        <w:t>通</w:t>
      </w:r>
      <w:r>
        <w:rPr>
          <w:spacing w:val="5"/>
          <w:position w:val="1"/>
        </w:rPr>
        <w:t>工具</w:t>
      </w:r>
      <w:r>
        <w:rPr>
          <w:position w:val="1"/>
        </w:rPr>
        <w:t>分</w:t>
      </w:r>
      <w:r>
        <w:rPr>
          <w:spacing w:val="5"/>
          <w:position w:val="1"/>
        </w:rPr>
        <w:t>别</w:t>
      </w:r>
      <w:r>
        <w:rPr>
          <w:position w:val="1"/>
        </w:rPr>
        <w:t>按</w:t>
      </w:r>
      <w:r>
        <w:rPr>
          <w:spacing w:val="5"/>
          <w:position w:val="1"/>
        </w:rPr>
        <w:t>照</w:t>
      </w:r>
      <w:r>
        <w:rPr>
          <w:position w:val="1"/>
        </w:rPr>
        <w:t>购</w:t>
      </w:r>
      <w:r>
        <w:rPr>
          <w:spacing w:val="5"/>
          <w:position w:val="1"/>
        </w:rPr>
        <w:t>车金</w:t>
      </w:r>
      <w:r>
        <w:rPr>
          <w:position w:val="1"/>
        </w:rPr>
        <w:t>额的</w:t>
      </w:r>
      <w:r>
        <w:rPr>
          <w:spacing w:val="-86"/>
          <w:position w:val="1"/>
        </w:rPr>
        <w:t xml:space="preserve"> </w:t>
      </w:r>
      <w:r>
        <w:rPr>
          <w:spacing w:val="5"/>
          <w:position w:val="1"/>
        </w:rPr>
        <w:t>10</w:t>
      </w:r>
      <w:r>
        <w:rPr>
          <w:spacing w:val="11"/>
          <w:w w:val="99"/>
        </w:rPr>
        <w:drawing>
          <wp:inline distT="0" distB="0" distL="0" distR="0">
            <wp:extent cx="85725" cy="155575"/>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png"/>
                    <pic:cNvPicPr>
                      <a:picLocks noChangeAspect="1"/>
                    </pic:cNvPicPr>
                  </pic:nvPicPr>
                  <pic:blipFill>
                    <a:blip r:embed="rId5" cstate="print"/>
                    <a:stretch>
                      <a:fillRect/>
                    </a:stretch>
                  </pic:blipFill>
                  <pic:spPr>
                    <a:xfrm>
                      <a:off x="0" y="0"/>
                      <a:ext cx="85725" cy="155575"/>
                    </a:xfrm>
                    <a:prstGeom prst="rect">
                      <a:avLst/>
                    </a:prstGeom>
                  </pic:spPr>
                </pic:pic>
              </a:graphicData>
            </a:graphic>
          </wp:inline>
        </w:drawing>
      </w:r>
      <w:r>
        <w:rPr>
          <w:spacing w:val="5"/>
          <w:position w:val="1"/>
        </w:rPr>
        <w:t>给</w:t>
      </w:r>
      <w:r>
        <w:rPr>
          <w:position w:val="1"/>
        </w:rPr>
        <w:t>予</w:t>
      </w:r>
      <w:r>
        <w:rPr>
          <w:spacing w:val="5"/>
          <w:position w:val="1"/>
        </w:rPr>
        <w:t>资</w:t>
      </w:r>
      <w:r>
        <w:rPr>
          <w:position w:val="1"/>
        </w:rPr>
        <w:t>金</w:t>
      </w:r>
      <w:r>
        <w:rPr>
          <w:spacing w:val="-6"/>
        </w:rPr>
        <w:t xml:space="preserve">支持，每辆车支持资金最高不超过 </w:t>
      </w:r>
      <w:r>
        <w:t>5</w:t>
      </w:r>
      <w:r>
        <w:rPr>
          <w:spacing w:val="-21"/>
        </w:rPr>
        <w:t xml:space="preserve"> 万元。</w:t>
      </w:r>
    </w:p>
    <w:p>
      <w:pPr>
        <w:pStyle w:val="3"/>
        <w:spacing w:line="350" w:lineRule="auto"/>
        <w:ind w:left="113" w:right="1472" w:firstLine="640"/>
        <w:jc w:val="both"/>
      </w:pPr>
      <w:r>
        <w:rPr>
          <w:w w:val="95"/>
        </w:rPr>
        <w:t xml:space="preserve">对从事车用氢气高效运输的企业，按氢气运输车辆购置费用 </w:t>
      </w:r>
      <w:r>
        <w:t>总额的</w:t>
      </w:r>
      <w:r>
        <w:rPr>
          <w:spacing w:val="-84"/>
        </w:rPr>
        <w:t xml:space="preserve"> </w:t>
      </w:r>
      <w:r>
        <w:rPr>
          <w:spacing w:val="5"/>
        </w:rPr>
        <w:t>20</w:t>
      </w:r>
      <w:r>
        <w:rPr>
          <w:spacing w:val="11"/>
          <w:w w:val="99"/>
        </w:rPr>
        <w:drawing>
          <wp:inline distT="0" distB="0" distL="0" distR="0">
            <wp:extent cx="85725" cy="155575"/>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png"/>
                    <pic:cNvPicPr>
                      <a:picLocks noChangeAspect="1"/>
                    </pic:cNvPicPr>
                  </pic:nvPicPr>
                  <pic:blipFill>
                    <a:blip r:embed="rId5" cstate="print"/>
                    <a:stretch>
                      <a:fillRect/>
                    </a:stretch>
                  </pic:blipFill>
                  <pic:spPr>
                    <a:xfrm>
                      <a:off x="0" y="0"/>
                      <a:ext cx="85725" cy="155575"/>
                    </a:xfrm>
                    <a:prstGeom prst="rect">
                      <a:avLst/>
                    </a:prstGeom>
                  </pic:spPr>
                </pic:pic>
              </a:graphicData>
            </a:graphic>
          </wp:inline>
        </w:drawing>
      </w:r>
      <w:r>
        <w:t>给予资金支持</w:t>
      </w:r>
      <w:r>
        <w:rPr>
          <w:spacing w:val="-159"/>
        </w:rPr>
        <w:t>，</w:t>
      </w:r>
      <w:r>
        <w:t>每家企业每年支持资金最高不超过</w:t>
      </w:r>
      <w:r>
        <w:rPr>
          <w:spacing w:val="-87"/>
        </w:rPr>
        <w:t xml:space="preserve"> </w:t>
      </w:r>
      <w:r>
        <w:t>500 万元。</w:t>
      </w:r>
    </w:p>
    <w:p>
      <w:pPr>
        <w:pStyle w:val="3"/>
        <w:tabs>
          <w:tab w:val="left" w:pos="2352"/>
        </w:tabs>
        <w:spacing w:line="350" w:lineRule="auto"/>
        <w:ind w:left="113" w:right="1312" w:firstLine="640"/>
      </w:pPr>
      <w:r>
        <w:rPr>
          <w:rFonts w:hint="eastAsia" w:ascii="黑体" w:eastAsia="黑体"/>
        </w:rPr>
        <w:t>第十一条</w:t>
      </w:r>
      <w:r>
        <w:rPr>
          <w:rFonts w:hint="eastAsia" w:ascii="黑体" w:eastAsia="黑体"/>
        </w:rPr>
        <w:tab/>
      </w:r>
      <w:r>
        <w:t>支持车辆高效运</w:t>
      </w:r>
      <w:r>
        <w:rPr>
          <w:spacing w:val="3"/>
        </w:rPr>
        <w:t>营</w:t>
      </w:r>
      <w:r>
        <w:t>。鼓励运力平台发</w:t>
      </w:r>
      <w:r>
        <w:rPr>
          <w:spacing w:val="3"/>
        </w:rPr>
        <w:t>展</w:t>
      </w:r>
      <w:r>
        <w:t>，支持企业应用燃料电池汽车从事运输业务，对满足单车平均用氢运行里</w:t>
      </w:r>
      <w:r>
        <w:rPr>
          <w:w w:val="95"/>
        </w:rPr>
        <w:t>程条件的企业</w:t>
      </w:r>
      <w:r>
        <w:rPr>
          <w:spacing w:val="-53"/>
          <w:w w:val="95"/>
        </w:rPr>
        <w:t>，</w:t>
      </w:r>
      <w:r>
        <w:rPr>
          <w:w w:val="95"/>
        </w:rPr>
        <w:t>针对中重型货车</w:t>
      </w:r>
      <w:r>
        <w:rPr>
          <w:spacing w:val="-53"/>
          <w:w w:val="95"/>
        </w:rPr>
        <w:t>、</w:t>
      </w:r>
      <w:r>
        <w:rPr>
          <w:w w:val="95"/>
        </w:rPr>
        <w:t>轻型普货货车</w:t>
      </w:r>
      <w:r>
        <w:rPr>
          <w:spacing w:val="-53"/>
          <w:w w:val="95"/>
        </w:rPr>
        <w:t>、</w:t>
      </w:r>
      <w:r>
        <w:rPr>
          <w:w w:val="95"/>
        </w:rPr>
        <w:t xml:space="preserve">轻型冷链货车、 </w:t>
      </w:r>
      <w:r>
        <w:t>中大型客车、环卫车共</w:t>
      </w:r>
      <w:r>
        <w:rPr>
          <w:spacing w:val="-84"/>
        </w:rPr>
        <w:t xml:space="preserve"> </w:t>
      </w:r>
      <w:r>
        <w:t>5</w:t>
      </w:r>
      <w:r>
        <w:rPr>
          <w:spacing w:val="-83"/>
        </w:rPr>
        <w:t xml:space="preserve"> </w:t>
      </w:r>
      <w:r>
        <w:t>类车型，按车辆年度累计用氢运行里程</w:t>
      </w:r>
      <w:r>
        <w:rPr>
          <w:spacing w:val="7"/>
        </w:rPr>
        <w:t>给予</w:t>
      </w:r>
      <w:r>
        <w:rPr>
          <w:spacing w:val="5"/>
        </w:rPr>
        <w:t>资</w:t>
      </w:r>
      <w:r>
        <w:rPr>
          <w:spacing w:val="7"/>
        </w:rPr>
        <w:t>金支持</w:t>
      </w:r>
      <w:r>
        <w:rPr>
          <w:spacing w:val="5"/>
        </w:rPr>
        <w:t>，</w:t>
      </w:r>
      <w:r>
        <w:rPr>
          <w:spacing w:val="7"/>
        </w:rPr>
        <w:t>每辆车</w:t>
      </w:r>
      <w:r>
        <w:rPr>
          <w:spacing w:val="5"/>
        </w:rPr>
        <w:t>每</w:t>
      </w:r>
      <w:r>
        <w:rPr>
          <w:spacing w:val="7"/>
        </w:rPr>
        <w:t>年支持资</w:t>
      </w:r>
      <w:r>
        <w:rPr>
          <w:spacing w:val="5"/>
        </w:rPr>
        <w:t>金</w:t>
      </w:r>
      <w:r>
        <w:rPr>
          <w:spacing w:val="7"/>
        </w:rPr>
        <w:t>分别最</w:t>
      </w:r>
      <w:r>
        <w:rPr>
          <w:spacing w:val="5"/>
        </w:rPr>
        <w:t>高</w:t>
      </w:r>
      <w:r>
        <w:rPr>
          <w:spacing w:val="7"/>
        </w:rPr>
        <w:t>不超</w:t>
      </w:r>
      <w:r>
        <w:t>过</w:t>
      </w:r>
      <w:r>
        <w:rPr>
          <w:spacing w:val="-86"/>
        </w:rPr>
        <w:t xml:space="preserve"> </w:t>
      </w:r>
      <w:r>
        <w:t>5</w:t>
      </w:r>
      <w:r>
        <w:rPr>
          <w:spacing w:val="-81"/>
        </w:rPr>
        <w:t xml:space="preserve"> </w:t>
      </w:r>
      <w:r>
        <w:rPr>
          <w:spacing w:val="7"/>
        </w:rPr>
        <w:t>万元</w:t>
      </w:r>
      <w:r>
        <w:rPr>
          <w:spacing w:val="6"/>
        </w:rPr>
        <w:t>、</w:t>
      </w:r>
      <w:r>
        <w:t>3 万元、3</w:t>
      </w:r>
      <w:r>
        <w:rPr>
          <w:spacing w:val="-81"/>
        </w:rPr>
        <w:t xml:space="preserve"> </w:t>
      </w:r>
      <w:r>
        <w:t>万元、2</w:t>
      </w:r>
      <w:r>
        <w:rPr>
          <w:spacing w:val="-80"/>
        </w:rPr>
        <w:t xml:space="preserve"> </w:t>
      </w:r>
      <w:r>
        <w:t>万元、2</w:t>
      </w:r>
      <w:r>
        <w:rPr>
          <w:spacing w:val="-80"/>
        </w:rPr>
        <w:t xml:space="preserve"> </w:t>
      </w:r>
      <w:r>
        <w:t>万元。</w:t>
      </w:r>
    </w:p>
    <w:p>
      <w:pPr>
        <w:pStyle w:val="3"/>
        <w:tabs>
          <w:tab w:val="left" w:pos="2352"/>
        </w:tabs>
        <w:spacing w:before="8"/>
        <w:ind w:left="113" w:firstLine="640"/>
      </w:pPr>
      <w:r>
        <w:rPr>
          <w:rFonts w:hint="eastAsia" w:ascii="黑体" w:eastAsia="黑体"/>
        </w:rPr>
        <w:t>第十二条</w:t>
      </w:r>
      <w:r>
        <w:rPr>
          <w:rFonts w:hint="eastAsia" w:ascii="黑体" w:eastAsia="黑体"/>
        </w:rPr>
        <w:tab/>
      </w:r>
      <w:r>
        <w:rPr>
          <w:w w:val="95"/>
        </w:rPr>
        <w:t>支持开展高水平行业交流活动。鼓励氢能企</w:t>
      </w:r>
      <w:r>
        <w:rPr>
          <w:spacing w:val="3"/>
          <w:w w:val="95"/>
        </w:rPr>
        <w:t>业</w:t>
      </w:r>
      <w:r>
        <w:rPr>
          <w:w w:val="95"/>
        </w:rPr>
        <w:t>、</w:t>
      </w:r>
    </w:p>
    <w:p>
      <w:pPr>
        <w:pStyle w:val="3"/>
        <w:spacing w:before="37"/>
        <w:ind w:left="113"/>
      </w:pPr>
      <w:r>
        <w:rPr>
          <w:w w:val="95"/>
        </w:rPr>
        <w:t>高校院所、科研机构等，联合发起组建产业联盟、行业协会；鼓 励各类机构举办国际、全国性的行业交流活动，具有较大影响力</w:t>
      </w:r>
      <w:r>
        <w:pict>
          <v:shape id="_x0000_s1032" o:spid="_x0000_s1032" o:spt="136" type="#_x0000_t136" style="position:absolute;left:0pt;margin-left:14.05pt;margin-top:401.35pt;height:48pt;width:576pt;mso-position-horizontal-relative:page;mso-position-vertical-relative:page;rotation:20643840f;z-index:-251899904;mso-width-relative:page;mso-height-relative:page;" fillcolor="#AAAAAA" filled="t" stroked="f" coordsize="21600,21600">
            <v:path/>
            <v:fill on="t" opacity="32639f" focussize="0,0"/>
            <v:stroke on="f"/>
            <v:imagedata o:title=""/>
            <o:lock v:ext="edit"/>
            <v:textpath on="t" fitpath="t" trim="t" xscale="f" string="北京市大兴区人民政府公报" style="font-family:微软雅黑;font-size:48pt;v-text-align:center;"/>
          </v:shape>
        </w:pict>
      </w:r>
      <w:r>
        <w:rPr>
          <w:spacing w:val="5"/>
          <w:position w:val="1"/>
        </w:rPr>
        <w:t>且</w:t>
      </w:r>
      <w:r>
        <w:rPr>
          <w:position w:val="1"/>
        </w:rPr>
        <w:t>促</w:t>
      </w:r>
      <w:r>
        <w:rPr>
          <w:spacing w:val="5"/>
          <w:position w:val="1"/>
        </w:rPr>
        <w:t>进</w:t>
      </w:r>
      <w:r>
        <w:rPr>
          <w:position w:val="1"/>
        </w:rPr>
        <w:t>区</w:t>
      </w:r>
      <w:r>
        <w:rPr>
          <w:spacing w:val="5"/>
          <w:position w:val="1"/>
        </w:rPr>
        <w:t>域</w:t>
      </w:r>
      <w:r>
        <w:rPr>
          <w:position w:val="1"/>
        </w:rPr>
        <w:t>发</w:t>
      </w:r>
      <w:r>
        <w:rPr>
          <w:spacing w:val="5"/>
          <w:position w:val="1"/>
        </w:rPr>
        <w:t>展的</w:t>
      </w:r>
      <w:r>
        <w:rPr>
          <w:position w:val="1"/>
        </w:rPr>
        <w:t>，</w:t>
      </w:r>
      <w:r>
        <w:rPr>
          <w:spacing w:val="5"/>
          <w:position w:val="1"/>
        </w:rPr>
        <w:t>经</w:t>
      </w:r>
      <w:r>
        <w:rPr>
          <w:position w:val="1"/>
        </w:rPr>
        <w:t>评</w:t>
      </w:r>
      <w:r>
        <w:rPr>
          <w:spacing w:val="5"/>
          <w:position w:val="1"/>
        </w:rPr>
        <w:t>审，</w:t>
      </w:r>
      <w:r>
        <w:rPr>
          <w:position w:val="1"/>
        </w:rPr>
        <w:t>按</w:t>
      </w:r>
      <w:r>
        <w:rPr>
          <w:spacing w:val="5"/>
          <w:position w:val="1"/>
        </w:rPr>
        <w:t>照</w:t>
      </w:r>
      <w:r>
        <w:rPr>
          <w:position w:val="1"/>
        </w:rPr>
        <w:t>上</w:t>
      </w:r>
      <w:r>
        <w:rPr>
          <w:spacing w:val="5"/>
          <w:position w:val="1"/>
        </w:rPr>
        <w:t>年</w:t>
      </w:r>
      <w:r>
        <w:rPr>
          <w:position w:val="1"/>
        </w:rPr>
        <w:t>度</w:t>
      </w:r>
      <w:r>
        <w:rPr>
          <w:spacing w:val="5"/>
          <w:position w:val="1"/>
        </w:rPr>
        <w:t>活动</w:t>
      </w:r>
      <w:r>
        <w:rPr>
          <w:position w:val="1"/>
        </w:rPr>
        <w:t>经</w:t>
      </w:r>
      <w:r>
        <w:rPr>
          <w:spacing w:val="5"/>
          <w:position w:val="1"/>
        </w:rPr>
        <w:t>费</w:t>
      </w:r>
      <w:r>
        <w:rPr>
          <w:position w:val="1"/>
        </w:rPr>
        <w:t>的</w:t>
      </w:r>
      <w:r>
        <w:rPr>
          <w:spacing w:val="-87"/>
          <w:position w:val="1"/>
        </w:rPr>
        <w:t xml:space="preserve"> </w:t>
      </w:r>
      <w:r>
        <w:rPr>
          <w:spacing w:val="5"/>
          <w:position w:val="1"/>
        </w:rPr>
        <w:t>50</w:t>
      </w:r>
      <w:r>
        <w:rPr>
          <w:spacing w:val="11"/>
          <w:w w:val="99"/>
        </w:rPr>
        <w:drawing>
          <wp:inline distT="0" distB="0" distL="0" distR="0">
            <wp:extent cx="85725" cy="155575"/>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png"/>
                    <pic:cNvPicPr>
                      <a:picLocks noChangeAspect="1"/>
                    </pic:cNvPicPr>
                  </pic:nvPicPr>
                  <pic:blipFill>
                    <a:blip r:embed="rId5" cstate="print"/>
                    <a:stretch>
                      <a:fillRect/>
                    </a:stretch>
                  </pic:blipFill>
                  <pic:spPr>
                    <a:xfrm>
                      <a:off x="0" y="0"/>
                      <a:ext cx="85725" cy="155575"/>
                    </a:xfrm>
                    <a:prstGeom prst="rect">
                      <a:avLst/>
                    </a:prstGeom>
                  </pic:spPr>
                </pic:pic>
              </a:graphicData>
            </a:graphic>
          </wp:inline>
        </w:drawing>
      </w:r>
      <w:r>
        <w:rPr>
          <w:spacing w:val="5"/>
          <w:position w:val="1"/>
        </w:rPr>
        <w:t>给</w:t>
      </w:r>
      <w:r>
        <w:rPr>
          <w:position w:val="1"/>
        </w:rPr>
        <w:t>予支</w:t>
      </w:r>
      <w:r>
        <w:t>持，每家机构每年支持资金最高不超过 100 万元。</w:t>
      </w:r>
    </w:p>
    <w:p>
      <w:pPr>
        <w:pStyle w:val="3"/>
      </w:pPr>
    </w:p>
    <w:p>
      <w:pPr>
        <w:pStyle w:val="3"/>
        <w:spacing w:before="8"/>
        <w:rPr>
          <w:sz w:val="29"/>
        </w:rPr>
      </w:pPr>
    </w:p>
    <w:p>
      <w:pPr>
        <w:pStyle w:val="3"/>
        <w:tabs>
          <w:tab w:val="left" w:pos="1279"/>
        </w:tabs>
        <w:spacing w:before="1"/>
        <w:ind w:right="1360"/>
        <w:jc w:val="center"/>
        <w:rPr>
          <w:rFonts w:hint="eastAsia" w:ascii="黑体" w:eastAsia="黑体"/>
        </w:rPr>
      </w:pPr>
      <w:r>
        <w:rPr>
          <w:rFonts w:hint="eastAsia" w:ascii="黑体" w:eastAsia="黑体"/>
        </w:rPr>
        <w:t>第四章</w:t>
      </w:r>
      <w:r>
        <w:rPr>
          <w:rFonts w:hint="eastAsia" w:ascii="黑体" w:eastAsia="黑体"/>
        </w:rPr>
        <w:tab/>
      </w:r>
      <w:r>
        <w:rPr>
          <w:rFonts w:hint="eastAsia" w:ascii="黑体" w:eastAsia="黑体"/>
        </w:rPr>
        <w:t>工作流程</w:t>
      </w:r>
    </w:p>
    <w:p>
      <w:pPr>
        <w:pStyle w:val="3"/>
        <w:rPr>
          <w:rFonts w:ascii="黑体"/>
        </w:rPr>
      </w:pPr>
    </w:p>
    <w:p>
      <w:pPr>
        <w:pStyle w:val="3"/>
        <w:spacing w:before="8"/>
        <w:rPr>
          <w:rFonts w:ascii="黑体"/>
          <w:sz w:val="29"/>
        </w:rPr>
      </w:pPr>
    </w:p>
    <w:p>
      <w:pPr>
        <w:pStyle w:val="3"/>
        <w:spacing w:line="350" w:lineRule="auto"/>
        <w:ind w:left="113" w:right="1474" w:firstLine="640"/>
        <w:jc w:val="both"/>
      </w:pPr>
      <w:r>
        <w:rPr>
          <w:rFonts w:hint="eastAsia" w:ascii="黑体" w:eastAsia="黑体"/>
        </w:rPr>
        <w:t xml:space="preserve">第十三条 </w:t>
      </w:r>
      <w:r>
        <w:t>项目征集。由区经济和信息化局牵头负责每年面向全区征集相关项目。</w:t>
      </w:r>
    </w:p>
    <w:p>
      <w:pPr>
        <w:pStyle w:val="3"/>
        <w:spacing w:before="3" w:line="350" w:lineRule="auto"/>
        <w:ind w:left="113" w:right="1469" w:firstLine="640"/>
        <w:jc w:val="both"/>
      </w:pPr>
      <w:r>
        <w:rPr>
          <w:rFonts w:hint="eastAsia" w:ascii="黑体" w:eastAsia="黑体"/>
          <w:spacing w:val="29"/>
        </w:rPr>
        <w:t xml:space="preserve">第十四条 </w:t>
      </w:r>
      <w:r>
        <w:t>项目审核兑现。区经济和信息化局负责组织第三方专业机构或专家协助开展项目评审，并按照既定程序在区人民</w:t>
      </w:r>
      <w:r>
        <w:rPr>
          <w:spacing w:val="-7"/>
        </w:rPr>
        <w:t xml:space="preserve">政府网站公示，公示期不少于 </w:t>
      </w:r>
      <w:r>
        <w:t>5</w:t>
      </w:r>
      <w:r>
        <w:rPr>
          <w:spacing w:val="-10"/>
        </w:rPr>
        <w:t xml:space="preserve"> 个工作日。公示期结束后，对公</w:t>
      </w:r>
      <w:r>
        <w:rPr>
          <w:spacing w:val="-9"/>
          <w:w w:val="95"/>
        </w:rPr>
        <w:t xml:space="preserve">示无异议的项目予以支持。任何单位和个人如持有异议，应当在 </w:t>
      </w:r>
      <w:r>
        <w:rPr>
          <w:spacing w:val="11"/>
          <w:w w:val="95"/>
        </w:rPr>
        <w:t xml:space="preserve">公示期内提交书面意见和有关证据，逾期视为对公示内容无异 </w:t>
      </w:r>
      <w:r>
        <w:rPr>
          <w:spacing w:val="11"/>
        </w:rPr>
        <w:t>议，且不予受理。</w:t>
      </w:r>
    </w:p>
    <w:p>
      <w:pPr>
        <w:pStyle w:val="3"/>
        <w:spacing w:before="8" w:line="350" w:lineRule="auto"/>
        <w:ind w:left="113" w:right="1471" w:firstLine="640"/>
        <w:jc w:val="both"/>
      </w:pPr>
      <w:r>
        <w:rPr>
          <w:rFonts w:hint="eastAsia" w:ascii="黑体" w:eastAsia="黑体"/>
          <w:spacing w:val="30"/>
        </w:rPr>
        <w:t xml:space="preserve">第十五条 </w:t>
      </w:r>
      <w:r>
        <w:t>监督与管理。对在审计与监督检查中发现存在严</w:t>
      </w:r>
      <w:r>
        <w:rPr>
          <w:w w:val="95"/>
        </w:rPr>
        <w:t xml:space="preserve">重问题，经核查违规的企业，自发现之日起，已获得政策资金支 </w:t>
      </w:r>
      <w:r>
        <w:t>持的单位三年内不得申报本办法，并限期返还已获得的资金。</w:t>
      </w:r>
    </w:p>
    <w:p>
      <w:pPr>
        <w:pStyle w:val="3"/>
        <w:spacing w:before="2"/>
        <w:rPr>
          <w:sz w:val="47"/>
        </w:rPr>
      </w:pPr>
    </w:p>
    <w:p>
      <w:pPr>
        <w:pStyle w:val="3"/>
        <w:tabs>
          <w:tab w:val="left" w:pos="1279"/>
          <w:tab w:val="left" w:pos="1919"/>
        </w:tabs>
        <w:ind w:right="1357"/>
        <w:jc w:val="center"/>
        <w:rPr>
          <w:rFonts w:hint="eastAsia" w:ascii="黑体" w:eastAsia="黑体"/>
        </w:rPr>
      </w:pPr>
      <w:r>
        <w:rPr>
          <w:rFonts w:hint="eastAsia" w:ascii="黑体" w:eastAsia="黑体"/>
        </w:rPr>
        <w:t>第五章</w:t>
      </w:r>
      <w:r>
        <w:rPr>
          <w:rFonts w:hint="eastAsia" w:ascii="黑体" w:eastAsia="黑体"/>
        </w:rPr>
        <w:tab/>
      </w:r>
      <w:r>
        <w:rPr>
          <w:rFonts w:hint="eastAsia" w:ascii="黑体" w:eastAsia="黑体"/>
        </w:rPr>
        <w:t>附</w:t>
      </w:r>
      <w:r>
        <w:rPr>
          <w:rFonts w:hint="eastAsia" w:ascii="黑体" w:eastAsia="黑体"/>
        </w:rPr>
        <w:tab/>
      </w:r>
      <w:r>
        <w:rPr>
          <w:rFonts w:hint="eastAsia" w:ascii="黑体" w:eastAsia="黑体"/>
        </w:rPr>
        <w:t>则</w:t>
      </w:r>
    </w:p>
    <w:p>
      <w:pPr>
        <w:pStyle w:val="3"/>
        <w:rPr>
          <w:rFonts w:ascii="黑体"/>
        </w:rPr>
      </w:pPr>
    </w:p>
    <w:p>
      <w:pPr>
        <w:pStyle w:val="3"/>
        <w:spacing w:before="8"/>
        <w:rPr>
          <w:rFonts w:ascii="黑体"/>
          <w:sz w:val="29"/>
        </w:rPr>
      </w:pPr>
    </w:p>
    <w:p>
      <w:pPr>
        <w:pStyle w:val="3"/>
        <w:tabs>
          <w:tab w:val="left" w:pos="2352"/>
        </w:tabs>
        <w:spacing w:line="350" w:lineRule="auto"/>
        <w:ind w:left="113" w:right="1473" w:firstLine="640"/>
      </w:pPr>
      <w:r>
        <w:rPr>
          <w:rFonts w:hint="eastAsia" w:ascii="黑体" w:eastAsia="黑体"/>
        </w:rPr>
        <w:t>第十六条</w:t>
      </w:r>
      <w:r>
        <w:rPr>
          <w:rFonts w:hint="eastAsia" w:ascii="黑体" w:eastAsia="黑体"/>
        </w:rPr>
        <w:tab/>
      </w:r>
      <w:r>
        <w:t>本办法由区经济和信息化局负责解</w:t>
      </w:r>
      <w:r>
        <w:rPr>
          <w:spacing w:val="3"/>
        </w:rPr>
        <w:t>释</w:t>
      </w:r>
      <w:r>
        <w:rPr>
          <w:spacing w:val="-3"/>
        </w:rPr>
        <w:t>，</w:t>
      </w:r>
      <w:r>
        <w:t>组织实</w:t>
      </w:r>
      <w:r>
        <w:rPr>
          <w:spacing w:val="-11"/>
        </w:rPr>
        <w:t>施</w:t>
      </w:r>
      <w:r>
        <w:t>并制定实施细则。</w:t>
      </w:r>
    </w:p>
    <w:p>
      <w:pPr>
        <w:pStyle w:val="3"/>
        <w:tabs>
          <w:tab w:val="left" w:pos="2429"/>
        </w:tabs>
        <w:spacing w:before="3"/>
        <w:ind w:firstLine="696" w:firstLineChars="200"/>
      </w:pPr>
      <w:r>
        <w:rPr>
          <w:rFonts w:hint="eastAsia" w:ascii="黑体" w:eastAsia="黑体"/>
          <w:spacing w:val="14"/>
        </w:rPr>
        <w:t>第</w:t>
      </w:r>
      <w:r>
        <w:rPr>
          <w:rFonts w:hint="eastAsia" w:ascii="黑体" w:eastAsia="黑体"/>
          <w:spacing w:val="12"/>
        </w:rPr>
        <w:t>十</w:t>
      </w:r>
      <w:r>
        <w:rPr>
          <w:rFonts w:hint="eastAsia" w:ascii="黑体" w:eastAsia="黑体"/>
          <w:spacing w:val="14"/>
        </w:rPr>
        <w:t>七</w:t>
      </w:r>
      <w:r>
        <w:rPr>
          <w:rFonts w:hint="eastAsia" w:ascii="黑体" w:eastAsia="黑体"/>
        </w:rPr>
        <w:t>条</w:t>
      </w:r>
      <w:r>
        <w:rPr>
          <w:rFonts w:hint="eastAsia" w:ascii="黑体" w:eastAsia="黑体"/>
        </w:rPr>
        <w:tab/>
      </w:r>
      <w:r>
        <w:rPr>
          <w:spacing w:val="14"/>
        </w:rPr>
        <w:t>同</w:t>
      </w:r>
      <w:r>
        <w:rPr>
          <w:spacing w:val="12"/>
        </w:rPr>
        <w:t>一</w:t>
      </w:r>
      <w:r>
        <w:rPr>
          <w:spacing w:val="14"/>
        </w:rPr>
        <w:t>企业</w:t>
      </w:r>
      <w:r>
        <w:rPr>
          <w:spacing w:val="12"/>
        </w:rPr>
        <w:t>的</w:t>
      </w:r>
      <w:r>
        <w:rPr>
          <w:spacing w:val="14"/>
        </w:rPr>
        <w:t>同</w:t>
      </w:r>
      <w:r>
        <w:rPr>
          <w:spacing w:val="12"/>
        </w:rPr>
        <w:t>一</w:t>
      </w:r>
      <w:r>
        <w:rPr>
          <w:spacing w:val="14"/>
        </w:rPr>
        <w:t>项目</w:t>
      </w:r>
      <w:r>
        <w:rPr>
          <w:spacing w:val="12"/>
        </w:rPr>
        <w:t>同</w:t>
      </w:r>
      <w:r>
        <w:rPr>
          <w:spacing w:val="14"/>
        </w:rPr>
        <w:t>时符</w:t>
      </w:r>
      <w:r>
        <w:rPr>
          <w:spacing w:val="12"/>
        </w:rPr>
        <w:t>合</w:t>
      </w:r>
      <w:r>
        <w:rPr>
          <w:spacing w:val="14"/>
        </w:rPr>
        <w:t>大</w:t>
      </w:r>
      <w:r>
        <w:rPr>
          <w:spacing w:val="12"/>
        </w:rPr>
        <w:t>兴</w:t>
      </w:r>
      <w:r>
        <w:rPr>
          <w:spacing w:val="14"/>
        </w:rPr>
        <w:t>区其</w:t>
      </w:r>
      <w:r>
        <w:rPr>
          <w:spacing w:val="12"/>
        </w:rPr>
        <w:t>他</w:t>
      </w:r>
      <w:r>
        <w:rPr>
          <w:spacing w:val="14"/>
        </w:rPr>
        <w:t>政</w:t>
      </w:r>
      <w:r>
        <w:t>策</w:t>
      </w:r>
    </w:p>
    <w:p>
      <w:pPr>
        <w:pStyle w:val="3"/>
        <w:spacing w:before="42" w:line="350" w:lineRule="auto"/>
        <w:ind w:right="1471"/>
        <w:jc w:val="both"/>
      </w:pPr>
      <w:r>
        <w:t>规定的，按照择优不重复的原则予以支持，另有规定的除外。</w:t>
      </w:r>
    </w:p>
    <w:p>
      <w:pPr>
        <w:pStyle w:val="3"/>
        <w:spacing w:before="42" w:line="350" w:lineRule="auto"/>
        <w:ind w:right="1471" w:firstLine="640" w:firstLineChars="200"/>
        <w:jc w:val="both"/>
      </w:pPr>
      <w:bookmarkStart w:id="3" w:name="_GoBack"/>
      <w:bookmarkEnd w:id="3"/>
      <w:r>
        <w:pict>
          <v:shape id="_x0000_s1033" o:spid="_x0000_s1033" o:spt="136" type="#_x0000_t136" style="position:absolute;left:0pt;margin-left:14.05pt;margin-top:401.35pt;height:48pt;width:576pt;mso-position-horizontal-relative:page;mso-position-vertical-relative:page;rotation:20643840f;z-index:251665408;mso-width-relative:page;mso-height-relative:page;" fillcolor="#AAAAAA" filled="t" stroked="f" coordsize="21600,21600">
            <v:path/>
            <v:fill on="t" opacity="32639f" focussize="0,0"/>
            <v:stroke on="f"/>
            <v:imagedata o:title=""/>
            <o:lock v:ext="edit"/>
            <v:textpath on="t" fitpath="t" trim="t" xscale="f" string="北京市大兴区人民政府公报" style="font-family:微软雅黑;font-size:48pt;v-text-align:center;"/>
          </v:shape>
        </w:pict>
      </w:r>
      <w:r>
        <w:rPr>
          <w:rFonts w:hint="eastAsia" w:ascii="黑体" w:eastAsia="黑体"/>
          <w:spacing w:val="30"/>
        </w:rPr>
        <w:t xml:space="preserve">第十八条 </w:t>
      </w:r>
      <w:r>
        <w:rPr>
          <w:spacing w:val="-6"/>
        </w:rPr>
        <w:t xml:space="preserve">本办法自公布之日起施行，至 </w:t>
      </w:r>
      <w:r>
        <w:t>2025</w:t>
      </w:r>
      <w:r>
        <w:rPr>
          <w:spacing w:val="-54"/>
        </w:rPr>
        <w:t xml:space="preserve"> 年 </w:t>
      </w:r>
      <w:r>
        <w:t>8</w:t>
      </w:r>
      <w:r>
        <w:rPr>
          <w:spacing w:val="-55"/>
        </w:rPr>
        <w:t xml:space="preserve"> 月 </w:t>
      </w:r>
      <w:r>
        <w:t>12</w:t>
      </w:r>
      <w:r>
        <w:rPr>
          <w:spacing w:val="-41"/>
        </w:rPr>
        <w:t xml:space="preserve"> 日结束。施行期间如遇国家和北京市相关政策调整，本办法同步调</w:t>
      </w:r>
      <w:r>
        <w:rPr>
          <w:spacing w:val="3"/>
          <w:w w:val="95"/>
        </w:rPr>
        <w:t xml:space="preserve">整。原《北京市大兴区人民政府关于印发&lt;大兴区促进氢能产业 </w:t>
      </w:r>
      <w:r>
        <w:rPr>
          <w:spacing w:val="-12"/>
        </w:rPr>
        <w:t>发展暂行办法&gt;的通知》</w:t>
      </w:r>
      <w:r>
        <w:t>（京兴政发〔2020〕23</w:t>
      </w:r>
      <w:r>
        <w:rPr>
          <w:spacing w:val="-40"/>
        </w:rPr>
        <w:t xml:space="preserve"> 号</w:t>
      </w:r>
      <w:r>
        <w:t>）废止。</w:t>
      </w:r>
    </w:p>
    <w:p>
      <w:pPr>
        <w:spacing w:after="0" w:line="350" w:lineRule="auto"/>
        <w:jc w:val="both"/>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r>
        <w:pict>
          <v:shape id="_x0000_s1034" o:spid="_x0000_s1034" o:spt="136" type="#_x0000_t136" style="position:absolute;left:0pt;margin-left:14.05pt;margin-top:401.35pt;height:48pt;width:576pt;mso-position-horizontal-relative:page;mso-position-vertical-relative:page;rotation:20643840f;z-index:-251894784;mso-width-relative:page;mso-height-relative:page;" fillcolor="#AAAAAA" filled="t" stroked="f" coordsize="21600,21600">
            <v:path/>
            <v:fill on="t" opacity="32639f" focussize="0,0"/>
            <v:stroke on="f"/>
            <v:imagedata o:title=""/>
            <o:lock v:ext="edit"/>
            <v:textpath on="t" fitpath="t" trim="t" xscale="f" string="北京市大兴区人民政府公报" style="font-family:微软雅黑;font-size:48pt;v-text-align:center;"/>
          </v:shape>
        </w:pict>
      </w:r>
    </w:p>
    <w:p>
      <w:pPr>
        <w:pStyle w:val="3"/>
        <w:rPr>
          <w:sz w:val="20"/>
        </w:rPr>
      </w:pPr>
    </w:p>
    <w:p>
      <w:pPr>
        <w:pStyle w:val="3"/>
        <w:rPr>
          <w:sz w:val="20"/>
        </w:rPr>
      </w:pPr>
    </w:p>
    <w:p>
      <w:pPr>
        <w:pStyle w:val="3"/>
        <w:rPr>
          <w:sz w:val="20"/>
        </w:rPr>
      </w:pPr>
    </w:p>
    <w:p>
      <w:pPr>
        <w:pStyle w:val="3"/>
        <w:rPr>
          <w:sz w:val="20"/>
        </w:rPr>
      </w:pPr>
    </w:p>
    <w:p>
      <w:pPr>
        <w:pStyle w:val="3"/>
        <w:spacing w:before="4"/>
        <w:rPr>
          <w:sz w:val="11"/>
        </w:rPr>
      </w:pPr>
    </w:p>
    <w:p>
      <w:pPr>
        <w:pStyle w:val="3"/>
        <w:spacing w:line="20" w:lineRule="exact"/>
        <w:ind w:left="104"/>
        <w:rPr>
          <w:sz w:val="2"/>
        </w:rPr>
      </w:pPr>
      <w:r>
        <w:rPr>
          <w:sz w:val="2"/>
        </w:rPr>
        <w:pict>
          <v:group id="_x0000_s1035" o:spid="_x0000_s1035" o:spt="203" style="height:1.05pt;width:442.2pt;" coordsize="8844,21">
            <o:lock v:ext="edit"/>
            <v:line id="_x0000_s1036" o:spid="_x0000_s1036" o:spt="20" style="position:absolute;left:0;top:10;height:0;width:8844;" stroked="t" coordsize="21600,21600">
              <v:path arrowok="t"/>
              <v:fill focussize="0,0"/>
              <v:stroke weight="1.00062992125984pt" color="#000000"/>
              <v:imagedata o:title=""/>
              <o:lock v:ext="edit"/>
            </v:line>
            <w10:wrap type="none"/>
            <w10:anchorlock/>
          </v:group>
        </w:pict>
      </w:r>
    </w:p>
    <w:p>
      <w:pPr>
        <w:pStyle w:val="3"/>
        <w:spacing w:before="6"/>
        <w:rPr>
          <w:sz w:val="7"/>
        </w:rPr>
      </w:pPr>
    </w:p>
    <w:p>
      <w:pPr>
        <w:spacing w:before="62" w:line="400" w:lineRule="auto"/>
        <w:ind w:left="1231" w:right="1784" w:hanging="800"/>
        <w:jc w:val="both"/>
        <w:rPr>
          <w:sz w:val="28"/>
        </w:rPr>
      </w:pPr>
      <w:r>
        <w:pict>
          <v:line id="_x0000_s1037" o:spid="_x0000_s1037" o:spt="20" style="position:absolute;left:0pt;margin-left:73.65pt;margin-top:85.7pt;height:0pt;width:442.15pt;mso-position-horizontal-relative:page;z-index:-251895808;mso-width-relative:page;mso-height-relative:page;" stroked="t" coordsize="21600,21600">
            <v:path arrowok="t"/>
            <v:fill focussize="0,0"/>
            <v:stroke weight="0.748346456692913pt" color="#000000"/>
            <v:imagedata o:title=""/>
            <o:lock v:ext="edit"/>
          </v:line>
        </w:pict>
      </w:r>
      <w:r>
        <w:rPr>
          <w:spacing w:val="-15"/>
          <w:sz w:val="28"/>
        </w:rPr>
        <w:t>抄送：区委办公室、各部、委，区人大办公室，区政协办公室，区纪委</w:t>
      </w:r>
      <w:r>
        <w:rPr>
          <w:spacing w:val="-9"/>
          <w:sz w:val="28"/>
        </w:rPr>
        <w:t>区监委机关，区人民法院，区人民检察院，临空经济区大兴片</w:t>
      </w:r>
      <w:r>
        <w:rPr>
          <w:spacing w:val="-3"/>
          <w:sz w:val="28"/>
        </w:rPr>
        <w:t>区管委会。</w:t>
      </w:r>
    </w:p>
    <w:p>
      <w:pPr>
        <w:tabs>
          <w:tab w:val="left" w:pos="6113"/>
        </w:tabs>
        <w:spacing w:before="3"/>
        <w:ind w:left="432" w:right="0" w:firstLine="0"/>
        <w:jc w:val="both"/>
        <w:rPr>
          <w:sz w:val="28"/>
        </w:rPr>
      </w:pPr>
      <w:r>
        <w:pict>
          <v:shape id="_x0000_s1038" o:spid="_x0000_s1038" style="position:absolute;left:0pt;margin-left:73.65pt;margin-top:22.5pt;height:0.1pt;width:442.2pt;mso-position-horizontal-relative:page;mso-wrap-distance-bottom:0pt;mso-wrap-distance-top:0pt;z-index:-251649024;mso-width-relative:page;mso-height-relative:page;" filled="f" stroked="t" coordorigin="1474,451" coordsize="8844,0" path="m1474,451l10318,451e">
            <v:path arrowok="t"/>
            <v:fill on="f" focussize="0,0"/>
            <v:stroke weight="0.997795275590551pt" color="#000000"/>
            <v:imagedata o:title=""/>
            <o:lock v:ext="edit"/>
            <w10:wrap type="topAndBottom"/>
          </v:shape>
        </w:pict>
      </w:r>
      <w:r>
        <w:rPr>
          <w:spacing w:val="-13"/>
          <w:sz w:val="28"/>
        </w:rPr>
        <w:t>北</w:t>
      </w:r>
      <w:r>
        <w:rPr>
          <w:spacing w:val="-15"/>
          <w:sz w:val="28"/>
        </w:rPr>
        <w:t>京</w:t>
      </w:r>
      <w:r>
        <w:rPr>
          <w:spacing w:val="-13"/>
          <w:sz w:val="28"/>
        </w:rPr>
        <w:t>市大</w:t>
      </w:r>
      <w:r>
        <w:rPr>
          <w:spacing w:val="-15"/>
          <w:sz w:val="28"/>
        </w:rPr>
        <w:t>兴</w:t>
      </w:r>
      <w:r>
        <w:rPr>
          <w:spacing w:val="-13"/>
          <w:sz w:val="28"/>
        </w:rPr>
        <w:t>区人</w:t>
      </w:r>
      <w:r>
        <w:rPr>
          <w:spacing w:val="-15"/>
          <w:sz w:val="28"/>
        </w:rPr>
        <w:t>民</w:t>
      </w:r>
      <w:r>
        <w:rPr>
          <w:spacing w:val="-13"/>
          <w:sz w:val="28"/>
        </w:rPr>
        <w:t>政府</w:t>
      </w:r>
      <w:r>
        <w:rPr>
          <w:spacing w:val="-15"/>
          <w:sz w:val="28"/>
        </w:rPr>
        <w:t>办</w:t>
      </w:r>
      <w:r>
        <w:rPr>
          <w:spacing w:val="-13"/>
          <w:sz w:val="28"/>
        </w:rPr>
        <w:t>公</w:t>
      </w:r>
      <w:r>
        <w:rPr>
          <w:sz w:val="28"/>
        </w:rPr>
        <w:t>室</w:t>
      </w:r>
      <w:r>
        <w:rPr>
          <w:sz w:val="28"/>
        </w:rPr>
        <w:tab/>
      </w:r>
      <w:r>
        <w:rPr>
          <w:spacing w:val="-6"/>
          <w:sz w:val="28"/>
        </w:rPr>
        <w:t>2022</w:t>
      </w:r>
      <w:r>
        <w:rPr>
          <w:spacing w:val="-79"/>
          <w:sz w:val="28"/>
        </w:rPr>
        <w:t xml:space="preserve"> </w:t>
      </w:r>
      <w:r>
        <w:rPr>
          <w:sz w:val="28"/>
        </w:rPr>
        <w:t>年</w:t>
      </w:r>
      <w:r>
        <w:rPr>
          <w:spacing w:val="-86"/>
          <w:sz w:val="28"/>
        </w:rPr>
        <w:t xml:space="preserve"> </w:t>
      </w:r>
      <w:r>
        <w:rPr>
          <w:sz w:val="28"/>
        </w:rPr>
        <w:t>3</w:t>
      </w:r>
      <w:r>
        <w:rPr>
          <w:spacing w:val="-79"/>
          <w:sz w:val="28"/>
        </w:rPr>
        <w:t xml:space="preserve"> </w:t>
      </w:r>
      <w:r>
        <w:rPr>
          <w:sz w:val="28"/>
        </w:rPr>
        <w:t>月</w:t>
      </w:r>
      <w:r>
        <w:rPr>
          <w:spacing w:val="-87"/>
          <w:sz w:val="28"/>
        </w:rPr>
        <w:t xml:space="preserve"> </w:t>
      </w:r>
      <w:r>
        <w:rPr>
          <w:spacing w:val="-5"/>
          <w:sz w:val="28"/>
        </w:rPr>
        <w:t>31</w:t>
      </w:r>
      <w:r>
        <w:rPr>
          <w:spacing w:val="-77"/>
          <w:sz w:val="28"/>
        </w:rPr>
        <w:t xml:space="preserve"> </w:t>
      </w:r>
      <w:r>
        <w:rPr>
          <w:spacing w:val="-13"/>
          <w:sz w:val="28"/>
        </w:rPr>
        <w:t>日</w:t>
      </w:r>
      <w:r>
        <w:rPr>
          <w:spacing w:val="-15"/>
          <w:sz w:val="28"/>
        </w:rPr>
        <w:t>印</w:t>
      </w:r>
      <w:r>
        <w:rPr>
          <w:sz w:val="28"/>
        </w:rPr>
        <w:t>发</w:t>
      </w:r>
    </w:p>
    <w:sectPr>
      <w:pgSz w:w="11910" w:h="16840"/>
      <w:pgMar w:top="1580" w:right="0" w:bottom="1520" w:left="1360" w:header="0" w:footer="133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279.15pt;margin-top:764.15pt;height:16.05pt;width:37pt;mso-position-horizontal-relative:page;mso-position-vertical-relative:page;z-index:-25190604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w:t>
                </w:r>
                <w:r>
                  <w:fldChar w:fldCharType="end"/>
                </w:r>
                <w:r>
                  <w:rPr>
                    <w:rFonts w:ascii="宋体"/>
                    <w:sz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19D47EA1"/>
    <w:rsid w:val="22B468C4"/>
    <w:rsid w:val="272205D5"/>
    <w:rsid w:val="2A0E7F94"/>
    <w:rsid w:val="36A40D97"/>
    <w:rsid w:val="43ED3B4D"/>
    <w:rsid w:val="7A7328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line="689" w:lineRule="exact"/>
      <w:ind w:right="1361"/>
      <w:jc w:val="center"/>
      <w:outlineLvl w:val="1"/>
    </w:pPr>
    <w:rPr>
      <w:rFonts w:ascii="方正小标宋简体" w:hAnsi="方正小标宋简体" w:eastAsia="方正小标宋简体" w:cs="方正小标宋简体"/>
      <w:sz w:val="44"/>
      <w:szCs w:val="44"/>
      <w:lang w:val="zh-CN" w:eastAsia="zh-CN" w:bidi="zh-CN"/>
    </w:rPr>
  </w:style>
  <w:style w:type="character" w:default="1" w:styleId="5">
    <w:name w:val="Default Paragraph Font"/>
    <w:semiHidden/>
    <w:unhideWhenUsed/>
    <w:uiPriority w:val="1"/>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6"/>
    <customShpInfo spid="_x0000_s1035"/>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2022-07-11T09:01:00Z</dcterms:created>
  <dc:creator>可乐爸</dc:creator>
  <cp:lastModifiedBy>月</cp:lastModifiedBy>
  <dcterms:modified xsi:type="dcterms:W3CDTF">2022-07-11T09:07:00Z</dcterms:modified>
  <dc:title>京兴政发〔2022〕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2022-07-11T00:00:00Z</vt:filetime>
  </property>
  <property fmtid="{D5CDD505-2E9C-101B-9397-08002B2CF9AE}" pid="3" name="Creator">
    <vt:lpwstr>WPS Writer</vt:lpwstr>
  </property>
  <property fmtid="{D5CDD505-2E9C-101B-9397-08002B2CF9AE}" pid="4" name="LastSaved">
    <vt:filetime>2022-07-11T00:00:00Z</vt:filetime>
  </property>
  <property fmtid="{D5CDD505-2E9C-101B-9397-08002B2CF9AE}" pid="5" name="KSOProductBuildVer">
    <vt:lpwstr>2052-11.8.2.8696</vt:lpwstr>
  </property>
</Properties>
</file>