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ind w:firstLine="213" w:firstLineChars="71"/>
        <w:rPr>
          <w:rFonts w:ascii="仿宋" w:hAnsi="仿宋"/>
          <w:color w:val="000000"/>
          <w:sz w:val="30"/>
          <w:szCs w:val="30"/>
        </w:rPr>
      </w:pPr>
      <w:bookmarkStart w:id="0" w:name="_Hlk76638023"/>
    </w:p>
    <w:p>
      <w:pPr>
        <w:ind w:firstLine="0" w:firstLineChars="0"/>
        <w:rPr>
          <w:rFonts w:ascii="黑体" w:hAnsi="黑体" w:eastAsia="黑体"/>
          <w:color w:val="000000"/>
          <w:sz w:val="44"/>
          <w:szCs w:val="44"/>
        </w:rPr>
      </w:pPr>
    </w:p>
    <w:p>
      <w:pPr>
        <w:ind w:firstLine="0" w:firstLineChars="0"/>
        <w:jc w:val="center"/>
        <w:rPr>
          <w:rFonts w:ascii="黑体" w:hAnsi="黑体" w:eastAsia="黑体"/>
          <w:color w:val="000000"/>
          <w:sz w:val="40"/>
          <w:szCs w:val="40"/>
        </w:rPr>
      </w:pPr>
      <w:r>
        <w:rPr>
          <w:rFonts w:hint="eastAsia" w:ascii="黑体" w:hAnsi="黑体" w:eastAsia="黑体"/>
          <w:color w:val="000000"/>
          <w:sz w:val="40"/>
          <w:szCs w:val="40"/>
        </w:rPr>
        <w:t>大兴区“十四五”时期社会治理规划</w:t>
      </w:r>
    </w:p>
    <w:p>
      <w:pPr>
        <w:ind w:firstLine="0" w:firstLineChars="0"/>
        <w:jc w:val="center"/>
        <w:rPr>
          <w:rFonts w:ascii="黑体" w:hAnsi="黑体" w:eastAsia="黑体"/>
          <w:color w:val="000000"/>
          <w:sz w:val="40"/>
          <w:szCs w:val="40"/>
        </w:rPr>
      </w:pPr>
    </w:p>
    <w:p>
      <w:pPr>
        <w:ind w:firstLine="0" w:firstLineChars="0"/>
        <w:jc w:val="center"/>
        <w:rPr>
          <w:rFonts w:ascii="黑体" w:hAnsi="黑体" w:eastAsia="黑体"/>
          <w:color w:val="000000"/>
          <w:sz w:val="40"/>
          <w:szCs w:val="4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bookmarkStart w:id="72" w:name="_GoBack"/>
      <w:bookmarkEnd w:id="72"/>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1800" w:firstLineChars="600"/>
        <w:rPr>
          <w:rFonts w:ascii="仿宋" w:hAnsi="仿宋"/>
          <w:color w:val="000000"/>
          <w:sz w:val="30"/>
          <w:szCs w:val="30"/>
        </w:rPr>
      </w:pPr>
    </w:p>
    <w:p>
      <w:pPr>
        <w:ind w:firstLine="0" w:firstLineChars="0"/>
        <w:rPr>
          <w:rFonts w:ascii="仿宋" w:hAnsi="仿宋"/>
          <w:color w:val="000000"/>
          <w:sz w:val="30"/>
          <w:szCs w:val="30"/>
        </w:rPr>
      </w:pPr>
    </w:p>
    <w:p>
      <w:pPr>
        <w:tabs>
          <w:tab w:val="left" w:pos="990"/>
          <w:tab w:val="center" w:pos="4153"/>
        </w:tabs>
        <w:spacing w:before="312" w:beforeLines="100" w:line="480" w:lineRule="auto"/>
        <w:ind w:firstLine="0" w:firstLineChars="0"/>
        <w:jc w:val="center"/>
        <w:rPr>
          <w:rFonts w:ascii="仿宋" w:hAnsi="仿宋" w:cs="仿宋"/>
          <w:sz w:val="30"/>
          <w:szCs w:val="30"/>
        </w:rPr>
      </w:pPr>
      <w:r>
        <w:rPr>
          <w:rFonts w:hint="eastAsia" w:ascii="仿宋" w:hAnsi="仿宋" w:cs="仿宋"/>
          <w:sz w:val="30"/>
          <w:szCs w:val="30"/>
        </w:rPr>
        <w:t>中国共产党北京市大兴区委员会社会工作委员会</w:t>
      </w:r>
    </w:p>
    <w:p>
      <w:pPr>
        <w:tabs>
          <w:tab w:val="left" w:pos="990"/>
          <w:tab w:val="center" w:pos="4153"/>
        </w:tabs>
        <w:spacing w:before="312" w:beforeLines="100" w:line="480" w:lineRule="auto"/>
        <w:ind w:firstLine="0" w:firstLineChars="0"/>
        <w:jc w:val="center"/>
        <w:rPr>
          <w:rFonts w:ascii="仿宋" w:hAnsi="仿宋" w:cs="仿宋"/>
          <w:sz w:val="30"/>
          <w:szCs w:val="30"/>
        </w:rPr>
      </w:pPr>
      <w:r>
        <w:rPr>
          <w:rFonts w:hint="eastAsia" w:ascii="仿宋" w:hAnsi="仿宋" w:cs="仿宋"/>
          <w:sz w:val="30"/>
          <w:szCs w:val="30"/>
        </w:rPr>
        <w:t>北京市大兴区民政局</w:t>
      </w:r>
    </w:p>
    <w:p>
      <w:pPr>
        <w:tabs>
          <w:tab w:val="left" w:pos="990"/>
          <w:tab w:val="center" w:pos="4153"/>
        </w:tabs>
        <w:spacing w:before="312" w:beforeLines="100" w:after="312" w:afterLines="100" w:line="480" w:lineRule="auto"/>
        <w:ind w:firstLine="0" w:firstLineChars="0"/>
        <w:jc w:val="center"/>
        <w:rPr>
          <w:rFonts w:ascii="仿宋" w:hAnsi="仿宋" w:cs="仿宋"/>
          <w:sz w:val="30"/>
          <w:szCs w:val="30"/>
        </w:rPr>
      </w:pPr>
      <w:r>
        <w:rPr>
          <w:rFonts w:hint="eastAsia" w:ascii="仿宋" w:hAnsi="仿宋" w:cs="仿宋"/>
          <w:sz w:val="30"/>
          <w:szCs w:val="30"/>
        </w:rPr>
        <w:t>二〇二二年二</w:t>
      </w:r>
      <w:r>
        <w:rPr>
          <w:rFonts w:ascii="仿宋" w:hAnsi="仿宋" w:cs="仿宋"/>
          <w:sz w:val="30"/>
          <w:szCs w:val="30"/>
        </w:rPr>
        <w:t>月</w:t>
      </w:r>
    </w:p>
    <w:p>
      <w:pPr>
        <w:pStyle w:val="27"/>
        <w:jc w:val="center"/>
        <w:rPr>
          <w:rFonts w:ascii="仿宋" w:hAnsi="仿宋" w:eastAsia="仿宋"/>
          <w:b/>
          <w:bCs/>
          <w:color w:val="000000"/>
        </w:rPr>
      </w:pPr>
      <w:r>
        <w:rPr>
          <w:rFonts w:hint="eastAsia" w:ascii="仿宋" w:hAnsi="仿宋" w:eastAsia="仿宋"/>
          <w:b/>
          <w:bCs/>
          <w:color w:val="000000"/>
          <w:lang w:val="zh-CN"/>
        </w:rPr>
        <w:t>目录</w:t>
      </w:r>
    </w:p>
    <w:p>
      <w:pPr>
        <w:pStyle w:val="11"/>
        <w:tabs>
          <w:tab w:val="right" w:leader="dot" w:pos="8296"/>
        </w:tabs>
        <w:ind w:firstLine="640"/>
        <w:rPr>
          <w:rFonts w:asciiTheme="minorHAnsi" w:hAnsiTheme="minorHAnsi" w:eastAsiaTheme="minorEastAsia" w:cstheme="minorBidi"/>
          <w:sz w:val="21"/>
        </w:rPr>
      </w:pPr>
      <w:r>
        <w:rPr>
          <w:rFonts w:ascii="仿宋" w:hAnsi="仿宋"/>
          <w:color w:val="000000"/>
          <w:szCs w:val="32"/>
        </w:rPr>
        <w:fldChar w:fldCharType="begin"/>
      </w:r>
      <w:r>
        <w:rPr>
          <w:rFonts w:ascii="仿宋" w:hAnsi="仿宋"/>
          <w:color w:val="000000"/>
          <w:szCs w:val="32"/>
        </w:rPr>
        <w:instrText xml:space="preserve"> TOC \o "1-3" \h \z \u </w:instrText>
      </w:r>
      <w:r>
        <w:rPr>
          <w:rFonts w:ascii="仿宋" w:hAnsi="仿宋"/>
          <w:color w:val="000000"/>
          <w:szCs w:val="32"/>
        </w:rPr>
        <w:fldChar w:fldCharType="separate"/>
      </w:r>
      <w:r>
        <w:fldChar w:fldCharType="begin"/>
      </w:r>
      <w:r>
        <w:instrText xml:space="preserve"> HYPERLINK \l "_Toc92171393" </w:instrText>
      </w:r>
      <w:r>
        <w:fldChar w:fldCharType="separate"/>
      </w:r>
      <w:r>
        <w:rPr>
          <w:rStyle w:val="20"/>
        </w:rPr>
        <w:t>第一章 规划背景</w:t>
      </w:r>
      <w:r>
        <w:tab/>
      </w:r>
      <w:r>
        <w:fldChar w:fldCharType="begin"/>
      </w:r>
      <w:r>
        <w:instrText xml:space="preserve"> PAGEREF _Toc92171393 \h </w:instrText>
      </w:r>
      <w:r>
        <w:fldChar w:fldCharType="separate"/>
      </w:r>
      <w:r>
        <w:t>2</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"_Toc92171394" </w:instrText>
      </w:r>
      <w:r>
        <w:fldChar w:fldCharType="separate"/>
      </w:r>
      <w:r>
        <w:rPr>
          <w:rStyle w:val="20"/>
        </w:rPr>
        <w:t>一、“十三五”时期社会治理蹄疾步稳</w:t>
      </w:r>
      <w:r>
        <w:tab/>
      </w:r>
      <w:r>
        <w:fldChar w:fldCharType="begin"/>
      </w:r>
      <w:r>
        <w:instrText xml:space="preserve"> PAGEREF _Toc92171394 \h </w:instrText>
      </w:r>
      <w:r>
        <w:fldChar w:fldCharType="separate"/>
      </w:r>
      <w:r>
        <w:t>2</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"_Toc92171395" </w:instrText>
      </w:r>
      <w:r>
        <w:fldChar w:fldCharType="separate"/>
      </w:r>
      <w:r>
        <w:rPr>
          <w:rStyle w:val="20"/>
        </w:rPr>
        <w:t>（一）社会领域党建更加深入</w:t>
      </w:r>
      <w:r>
        <w:tab/>
      </w:r>
      <w:r>
        <w:fldChar w:fldCharType="begin"/>
      </w:r>
      <w:r>
        <w:instrText xml:space="preserve"> PAGEREF _Toc92171395 \h </w:instrText>
      </w:r>
      <w:r>
        <w:fldChar w:fldCharType="separate"/>
      </w:r>
      <w:r>
        <w:t>3</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"_Toc92171396" </w:instrText>
      </w:r>
      <w:r>
        <w:fldChar w:fldCharType="separate"/>
      </w:r>
      <w:r>
        <w:rPr>
          <w:rStyle w:val="20"/>
        </w:rPr>
        <w:t>（二）社会服务体系持续完善</w:t>
      </w:r>
      <w:r>
        <w:tab/>
      </w:r>
      <w:r>
        <w:fldChar w:fldCharType="begin"/>
      </w:r>
      <w:r>
        <w:instrText xml:space="preserve"> PAGEREF _Toc92171396 \h </w:instrText>
      </w:r>
      <w:r>
        <w:fldChar w:fldCharType="separate"/>
      </w:r>
      <w:r>
        <w:t>3</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"_Toc92171397" </w:instrText>
      </w:r>
      <w:r>
        <w:fldChar w:fldCharType="separate"/>
      </w:r>
      <w:r>
        <w:rPr>
          <w:rStyle w:val="20"/>
        </w:rPr>
        <w:t>（三）社会管理体制逐步健全</w:t>
      </w:r>
      <w:r>
        <w:tab/>
      </w:r>
      <w:r>
        <w:fldChar w:fldCharType="begin"/>
      </w:r>
      <w:r>
        <w:instrText xml:space="preserve"> PAGEREF _Toc92171397 \h </w:instrText>
      </w:r>
      <w:r>
        <w:fldChar w:fldCharType="separate"/>
      </w:r>
      <w:r>
        <w:t>4</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"_Toc92171398" </w:instrText>
      </w:r>
      <w:r>
        <w:fldChar w:fldCharType="separate"/>
      </w:r>
      <w:r>
        <w:rPr>
          <w:rStyle w:val="20"/>
        </w:rPr>
        <w:t>（四）社会动员能力不断提升</w:t>
      </w:r>
      <w:r>
        <w:tab/>
      </w:r>
      <w:r>
        <w:fldChar w:fldCharType="begin"/>
      </w:r>
      <w:r>
        <w:instrText xml:space="preserve"> PAGEREF _Toc92171398 \h </w:instrText>
      </w:r>
      <w:r>
        <w:fldChar w:fldCharType="separate"/>
      </w:r>
      <w:r>
        <w:t>5</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"_Toc92171399" </w:instrText>
      </w:r>
      <w:r>
        <w:fldChar w:fldCharType="separate"/>
      </w:r>
      <w:r>
        <w:rPr>
          <w:rStyle w:val="20"/>
        </w:rPr>
        <w:t>二、“十四五”时期社会治理勇毅笃行</w:t>
      </w:r>
      <w:r>
        <w:tab/>
      </w:r>
      <w:r>
        <w:fldChar w:fldCharType="begin"/>
      </w:r>
      <w:r>
        <w:instrText xml:space="preserve"> PAGEREF _Toc92171399 \h </w:instrText>
      </w:r>
      <w:r>
        <w:fldChar w:fldCharType="separate"/>
      </w:r>
      <w:r>
        <w:t>6</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"_Toc92171400" </w:instrText>
      </w:r>
      <w:r>
        <w:fldChar w:fldCharType="separate"/>
      </w:r>
      <w:r>
        <w:rPr>
          <w:rStyle w:val="20"/>
        </w:rPr>
        <w:t>（一）人民对美好生活的向往提出新需求</w:t>
      </w:r>
      <w:r>
        <w:tab/>
      </w:r>
      <w:r>
        <w:fldChar w:fldCharType="begin"/>
      </w:r>
      <w:r>
        <w:instrText xml:space="preserve"> PAGEREF _Toc92171400 \h </w:instrText>
      </w:r>
      <w:r>
        <w:fldChar w:fldCharType="separate"/>
      </w:r>
      <w:r>
        <w:t>6</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"_Toc92171401" </w:instrText>
      </w:r>
      <w:r>
        <w:fldChar w:fldCharType="separate"/>
      </w:r>
      <w:r>
        <w:rPr>
          <w:rStyle w:val="20"/>
        </w:rPr>
        <w:t>（二）现代化社会治理体系提出新目标</w:t>
      </w:r>
      <w:r>
        <w:tab/>
      </w:r>
      <w:r>
        <w:fldChar w:fldCharType="begin"/>
      </w:r>
      <w:r>
        <w:instrText xml:space="preserve"> PAGEREF _Toc92171401 \h </w:instrText>
      </w:r>
      <w:r>
        <w:fldChar w:fldCharType="separate"/>
      </w:r>
      <w:r>
        <w:t>7</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"_Toc92171402" </w:instrText>
      </w:r>
      <w:r>
        <w:fldChar w:fldCharType="separate"/>
      </w:r>
      <w:r>
        <w:rPr>
          <w:rStyle w:val="20"/>
        </w:rPr>
        <w:t>（三）基层社会治理能力提出新标准</w:t>
      </w:r>
      <w:r>
        <w:tab/>
      </w:r>
      <w:r>
        <w:fldChar w:fldCharType="begin"/>
      </w:r>
      <w:r>
        <w:instrText xml:space="preserve"> PAGEREF _Toc92171402 \h </w:instrText>
      </w:r>
      <w:r>
        <w:fldChar w:fldCharType="separate"/>
      </w:r>
      <w:r>
        <w:t>7</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"_Toc92171403" </w:instrText>
      </w:r>
      <w:r>
        <w:fldChar w:fldCharType="separate"/>
      </w:r>
      <w:r>
        <w:rPr>
          <w:rStyle w:val="20"/>
        </w:rPr>
        <w:t>（四）大兴区社会治理面临新任务</w:t>
      </w:r>
      <w:r>
        <w:tab/>
      </w:r>
      <w:r>
        <w:fldChar w:fldCharType="begin"/>
      </w:r>
      <w:r>
        <w:instrText xml:space="preserve"> PAGEREF _Toc92171403 \h </w:instrText>
      </w:r>
      <w:r>
        <w:fldChar w:fldCharType="separate"/>
      </w:r>
      <w:r>
        <w:t>8</w:t>
      </w:r>
      <w:r>
        <w:fldChar w:fldCharType="end"/>
      </w:r>
      <w:r>
        <w:fldChar w:fldCharType="end"/>
      </w:r>
    </w:p>
    <w:p>
      <w:pPr>
        <w:pStyle w:val="11"/>
        <w:tabs>
          <w:tab w:val="right" w:leader="dot" w:pos="8296"/>
        </w:tabs>
        <w:ind w:firstLine="640"/>
        <w:rPr>
          <w:rFonts w:asciiTheme="minorHAnsi" w:hAnsiTheme="minorHAnsi" w:eastAsiaTheme="minorEastAsia" w:cstheme="minorBidi"/>
          <w:sz w:val="21"/>
        </w:rPr>
      </w:pPr>
      <w:r>
        <w:fldChar w:fldCharType="begin"/>
      </w:r>
      <w:r>
        <w:instrText xml:space="preserve"> HYPERLINK \l "_Toc92171404" </w:instrText>
      </w:r>
      <w:r>
        <w:fldChar w:fldCharType="separate"/>
      </w:r>
      <w:r>
        <w:rPr>
          <w:rStyle w:val="20"/>
          <w:lang w:val="zh-CN"/>
        </w:rPr>
        <w:t>第二章 总体要求</w:t>
      </w:r>
      <w:r>
        <w:tab/>
      </w:r>
      <w:r>
        <w:fldChar w:fldCharType="begin"/>
      </w:r>
      <w:r>
        <w:instrText xml:space="preserve"> PAGEREF _Toc92171404 \h </w:instrText>
      </w:r>
      <w:r>
        <w:fldChar w:fldCharType="separate"/>
      </w:r>
      <w:r>
        <w:t>9</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"_Toc92171405" </w:instrText>
      </w:r>
      <w:r>
        <w:fldChar w:fldCharType="separate"/>
      </w:r>
      <w:r>
        <w:rPr>
          <w:rStyle w:val="20"/>
        </w:rPr>
        <w:t>一、指导思想</w:t>
      </w:r>
      <w:r>
        <w:tab/>
      </w:r>
      <w:r>
        <w:fldChar w:fldCharType="begin"/>
      </w:r>
      <w:r>
        <w:instrText xml:space="preserve"> PAGEREF _Toc92171405 \h </w:instrText>
      </w:r>
      <w:r>
        <w:fldChar w:fldCharType="separate"/>
      </w:r>
      <w:r>
        <w:t>9</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"_Toc92171406" </w:instrText>
      </w:r>
      <w:r>
        <w:fldChar w:fldCharType="separate"/>
      </w:r>
      <w:r>
        <w:rPr>
          <w:rStyle w:val="20"/>
        </w:rPr>
        <w:t>二、基本原则</w:t>
      </w:r>
      <w:r>
        <w:tab/>
      </w:r>
      <w:r>
        <w:fldChar w:fldCharType="begin"/>
      </w:r>
      <w:r>
        <w:instrText xml:space="preserve"> PAGEREF _Toc92171406 \h </w:instrText>
      </w:r>
      <w:r>
        <w:fldChar w:fldCharType="separate"/>
      </w:r>
      <w:r>
        <w:t>9</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"_Toc92171407" </w:instrText>
      </w:r>
      <w:r>
        <w:fldChar w:fldCharType="separate"/>
      </w:r>
      <w:r>
        <w:rPr>
          <w:rStyle w:val="20"/>
        </w:rPr>
        <w:t>三、规划目标</w:t>
      </w:r>
      <w:r>
        <w:tab/>
      </w:r>
      <w:r>
        <w:fldChar w:fldCharType="begin"/>
      </w:r>
      <w:r>
        <w:instrText xml:space="preserve"> PAGEREF _Toc92171407 \h </w:instrText>
      </w:r>
      <w:r>
        <w:fldChar w:fldCharType="separate"/>
      </w:r>
      <w:r>
        <w:t>10</w:t>
      </w:r>
      <w:r>
        <w:fldChar w:fldCharType="end"/>
      </w:r>
      <w:r>
        <w:fldChar w:fldCharType="end"/>
      </w:r>
    </w:p>
    <w:p>
      <w:pPr>
        <w:pStyle w:val="11"/>
        <w:tabs>
          <w:tab w:val="right" w:leader="dot" w:pos="8296"/>
        </w:tabs>
        <w:ind w:firstLine="640"/>
        <w:rPr>
          <w:rFonts w:asciiTheme="minorHAnsi" w:hAnsiTheme="minorHAnsi" w:eastAsiaTheme="minorEastAsia" w:cstheme="minorBidi"/>
          <w:sz w:val="21"/>
        </w:rPr>
      </w:pPr>
      <w:r>
        <w:fldChar w:fldCharType="begin"/>
      </w:r>
      <w:r>
        <w:instrText xml:space="preserve"> HYPERLINK \l "_Toc92171408" </w:instrText>
      </w:r>
      <w:r>
        <w:fldChar w:fldCharType="separate"/>
      </w:r>
      <w:r>
        <w:rPr>
          <w:rStyle w:val="20"/>
        </w:rPr>
        <w:t>第三章“十四五”时期主要任务</w:t>
      </w:r>
      <w:r>
        <w:tab/>
      </w:r>
      <w:r>
        <w:fldChar w:fldCharType="begin"/>
      </w:r>
      <w:r>
        <w:instrText xml:space="preserve"> PAGEREF _Toc92171408 \h </w:instrText>
      </w:r>
      <w:r>
        <w:fldChar w:fldCharType="separate"/>
      </w:r>
      <w:r>
        <w:t>13</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"_Toc92171409" </w:instrText>
      </w:r>
      <w:r>
        <w:fldChar w:fldCharType="separate"/>
      </w:r>
      <w:r>
        <w:rPr>
          <w:rStyle w:val="20"/>
        </w:rPr>
        <w:t>一、完善共建共治共享的社会治理体系</w:t>
      </w:r>
      <w:r>
        <w:tab/>
      </w:r>
      <w:r>
        <w:fldChar w:fldCharType="begin"/>
      </w:r>
      <w:r>
        <w:instrText xml:space="preserve"> PAGEREF _Toc92171409 \h </w:instrText>
      </w:r>
      <w:r>
        <w:fldChar w:fldCharType="separate"/>
      </w:r>
      <w:r>
        <w:t>13</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"_Toc92171410" </w:instrText>
      </w:r>
      <w:r>
        <w:fldChar w:fldCharType="separate"/>
      </w:r>
      <w:r>
        <w:rPr>
          <w:rStyle w:val="20"/>
          <w:lang w:val="zh-CN"/>
        </w:rPr>
        <w:t>（一）完善党建引领社会治理机制</w:t>
      </w:r>
      <w:r>
        <w:tab/>
      </w:r>
      <w:r>
        <w:fldChar w:fldCharType="begin"/>
      </w:r>
      <w:r>
        <w:instrText xml:space="preserve"> PAGEREF _Toc92171410 \h </w:instrText>
      </w:r>
      <w:r>
        <w:fldChar w:fldCharType="separate"/>
      </w:r>
      <w:r>
        <w:t>13</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"_Toc92171411" </w:instrText>
      </w:r>
      <w:r>
        <w:fldChar w:fldCharType="separate"/>
      </w:r>
      <w:r>
        <w:rPr>
          <w:rStyle w:val="20"/>
        </w:rPr>
        <w:t>（二）健全社会治理体制机制</w:t>
      </w:r>
      <w:r>
        <w:tab/>
      </w:r>
      <w:r>
        <w:fldChar w:fldCharType="begin"/>
      </w:r>
      <w:r>
        <w:instrText xml:space="preserve"> PAGEREF _Toc92171411 \h </w:instrText>
      </w:r>
      <w:r>
        <w:fldChar w:fldCharType="separate"/>
      </w:r>
      <w:r>
        <w:t>14</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"_Toc92171412" </w:instrText>
      </w:r>
      <w:r>
        <w:fldChar w:fldCharType="separate"/>
      </w:r>
      <w:r>
        <w:rPr>
          <w:rStyle w:val="20"/>
        </w:rPr>
        <w:t>（三）明确社会治理重点难点</w:t>
      </w:r>
      <w:r>
        <w:tab/>
      </w:r>
      <w:r>
        <w:fldChar w:fldCharType="begin"/>
      </w:r>
      <w:r>
        <w:instrText xml:space="preserve"> PAGEREF _Toc92171412 \h </w:instrText>
      </w:r>
      <w:r>
        <w:fldChar w:fldCharType="separate"/>
      </w:r>
      <w:r>
        <w:t>15</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"_Toc92171413" </w:instrText>
      </w:r>
      <w:r>
        <w:fldChar w:fldCharType="separate"/>
      </w:r>
      <w:r>
        <w:rPr>
          <w:rStyle w:val="20"/>
        </w:rPr>
        <w:t>（四）完善多元主体协同参与机制</w:t>
      </w:r>
      <w:r>
        <w:tab/>
      </w:r>
      <w:r>
        <w:fldChar w:fldCharType="begin"/>
      </w:r>
      <w:r>
        <w:instrText xml:space="preserve"> PAGEREF _Toc92171413 \h </w:instrText>
      </w:r>
      <w:r>
        <w:fldChar w:fldCharType="separate"/>
      </w:r>
      <w:r>
        <w:t>16</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"_Toc92171414" </w:instrText>
      </w:r>
      <w:r>
        <w:fldChar w:fldCharType="separate"/>
      </w:r>
      <w:r>
        <w:rPr>
          <w:rStyle w:val="20"/>
        </w:rPr>
        <w:t>（五）搭建社会治理各类平台</w:t>
      </w:r>
      <w:r>
        <w:tab/>
      </w:r>
      <w:r>
        <w:fldChar w:fldCharType="begin"/>
      </w:r>
      <w:r>
        <w:instrText xml:space="preserve"> PAGEREF _Toc92171414 \h </w:instrText>
      </w:r>
      <w:r>
        <w:fldChar w:fldCharType="separate"/>
      </w:r>
      <w:r>
        <w:t>17</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"_Toc92171415" </w:instrText>
      </w:r>
      <w:r>
        <w:fldChar w:fldCharType="separate"/>
      </w:r>
      <w:r>
        <w:rPr>
          <w:rStyle w:val="20"/>
        </w:rPr>
        <w:t>（六）创新农村社区治理</w:t>
      </w:r>
      <w:r>
        <w:tab/>
      </w:r>
      <w:r>
        <w:fldChar w:fldCharType="begin"/>
      </w:r>
      <w:r>
        <w:instrText xml:space="preserve"> PAGEREF _Toc92171415 \h </w:instrText>
      </w:r>
      <w:r>
        <w:fldChar w:fldCharType="separate"/>
      </w:r>
      <w:r>
        <w:t>18</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"_Toc92171416" </w:instrText>
      </w:r>
      <w:r>
        <w:fldChar w:fldCharType="separate"/>
      </w:r>
      <w:r>
        <w:rPr>
          <w:rStyle w:val="20"/>
          <w:lang w:val="zh-CN"/>
        </w:rPr>
        <w:t>二、推进社会治理能力现代化</w:t>
      </w:r>
      <w:r>
        <w:tab/>
      </w:r>
      <w:r>
        <w:fldChar w:fldCharType="begin"/>
      </w:r>
      <w:r>
        <w:instrText xml:space="preserve"> PAGEREF _Toc92171416 \h </w:instrText>
      </w:r>
      <w:r>
        <w:fldChar w:fldCharType="separate"/>
      </w:r>
      <w:r>
        <w:t>19</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"_Toc92171417" </w:instrText>
      </w:r>
      <w:r>
        <w:fldChar w:fldCharType="separate"/>
      </w:r>
      <w:r>
        <w:rPr>
          <w:rStyle w:val="20"/>
        </w:rPr>
        <w:t>（一）深化党建引领，提升治理效能</w:t>
      </w:r>
      <w:r>
        <w:tab/>
      </w:r>
      <w:r>
        <w:fldChar w:fldCharType="begin"/>
      </w:r>
      <w:r>
        <w:instrText xml:space="preserve"> PAGEREF _Toc92171417 \h </w:instrText>
      </w:r>
      <w:r>
        <w:fldChar w:fldCharType="separate"/>
      </w:r>
      <w:r>
        <w:t>20</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"_Toc92171418" </w:instrText>
      </w:r>
      <w:r>
        <w:fldChar w:fldCharType="separate"/>
      </w:r>
      <w:r>
        <w:rPr>
          <w:rStyle w:val="20"/>
          <w:rFonts w:ascii="仿宋" w:hAnsi="仿宋"/>
          <w:lang w:val="zh-CN"/>
        </w:rPr>
        <w:t>（二）转变治理主体，强化系统治理</w:t>
      </w:r>
      <w:r>
        <w:tab/>
      </w:r>
      <w:r>
        <w:fldChar w:fldCharType="begin"/>
      </w:r>
      <w:r>
        <w:instrText xml:space="preserve"> PAGEREF _Toc92171418 \h </w:instrText>
      </w:r>
      <w:r>
        <w:fldChar w:fldCharType="separate"/>
      </w:r>
      <w:r>
        <w:t>21</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"_Toc92171419" </w:instrText>
      </w:r>
      <w:r>
        <w:fldChar w:fldCharType="separate"/>
      </w:r>
      <w:r>
        <w:rPr>
          <w:rStyle w:val="20"/>
        </w:rPr>
        <w:t>（三）转变治理方式，强化依法治理</w:t>
      </w:r>
      <w:r>
        <w:tab/>
      </w:r>
      <w:r>
        <w:fldChar w:fldCharType="begin"/>
      </w:r>
      <w:r>
        <w:instrText xml:space="preserve"> PAGEREF _Toc92171419 \h </w:instrText>
      </w:r>
      <w:r>
        <w:fldChar w:fldCharType="separate"/>
      </w:r>
      <w:r>
        <w:t>23</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"_Toc92171420" </w:instrText>
      </w:r>
      <w:r>
        <w:fldChar w:fldCharType="separate"/>
      </w:r>
      <w:r>
        <w:rPr>
          <w:rStyle w:val="20"/>
        </w:rPr>
        <w:t>（四）转变治理手段，强化综合治理</w:t>
      </w:r>
      <w:r>
        <w:tab/>
      </w:r>
      <w:r>
        <w:fldChar w:fldCharType="begin"/>
      </w:r>
      <w:r>
        <w:instrText xml:space="preserve"> PAGEREF _Toc92171420 \h </w:instrText>
      </w:r>
      <w:r>
        <w:fldChar w:fldCharType="separate"/>
      </w:r>
      <w:r>
        <w:t>24</w:t>
      </w:r>
      <w:r>
        <w:fldChar w:fldCharType="end"/>
      </w:r>
      <w:r>
        <w:fldChar w:fldCharType="end"/>
      </w:r>
    </w:p>
    <w:p>
      <w:pPr>
        <w:pStyle w:val="7"/>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"_Toc92171421" </w:instrText>
      </w:r>
      <w:r>
        <w:fldChar w:fldCharType="separate"/>
      </w:r>
      <w:r>
        <w:rPr>
          <w:rStyle w:val="20"/>
        </w:rPr>
        <w:t>（五）转变治理环节，强化源头治理</w:t>
      </w:r>
      <w:r>
        <w:tab/>
      </w:r>
      <w:r>
        <w:fldChar w:fldCharType="begin"/>
      </w:r>
      <w:r>
        <w:instrText xml:space="preserve"> PAGEREF _Toc92171421 \h </w:instrText>
      </w:r>
      <w:r>
        <w:fldChar w:fldCharType="separate"/>
      </w:r>
      <w:r>
        <w:t>26</w:t>
      </w:r>
      <w:r>
        <w:fldChar w:fldCharType="end"/>
      </w:r>
      <w:r>
        <w:fldChar w:fldCharType="end"/>
      </w:r>
    </w:p>
    <w:p>
      <w:pPr>
        <w:pStyle w:val="11"/>
        <w:tabs>
          <w:tab w:val="right" w:leader="dot" w:pos="8296"/>
        </w:tabs>
        <w:ind w:firstLine="640"/>
        <w:rPr>
          <w:rFonts w:asciiTheme="minorHAnsi" w:hAnsiTheme="minorHAnsi" w:eastAsiaTheme="minorEastAsia" w:cstheme="minorBidi"/>
          <w:sz w:val="21"/>
        </w:rPr>
      </w:pPr>
      <w:r>
        <w:fldChar w:fldCharType="begin"/>
      </w:r>
      <w:r>
        <w:instrText xml:space="preserve"> HYPERLINK \l "_Toc92171422" </w:instrText>
      </w:r>
      <w:r>
        <w:fldChar w:fldCharType="separate"/>
      </w:r>
      <w:r>
        <w:rPr>
          <w:rStyle w:val="20"/>
        </w:rPr>
        <w:t>第四章 保障措施</w:t>
      </w:r>
      <w:r>
        <w:tab/>
      </w:r>
      <w:r>
        <w:fldChar w:fldCharType="begin"/>
      </w:r>
      <w:r>
        <w:instrText xml:space="preserve"> PAGEREF _Toc92171422 \h </w:instrText>
      </w:r>
      <w:r>
        <w:fldChar w:fldCharType="separate"/>
      </w:r>
      <w:r>
        <w:t>28</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"_Toc92171423" </w:instrText>
      </w:r>
      <w:r>
        <w:fldChar w:fldCharType="separate"/>
      </w:r>
      <w:r>
        <w:rPr>
          <w:rStyle w:val="20"/>
        </w:rPr>
        <w:t>一、组织领导</w:t>
      </w:r>
      <w:r>
        <w:tab/>
      </w:r>
      <w:r>
        <w:fldChar w:fldCharType="begin"/>
      </w:r>
      <w:r>
        <w:instrText xml:space="preserve"> PAGEREF _Toc92171423 \h </w:instrText>
      </w:r>
      <w:r>
        <w:fldChar w:fldCharType="separate"/>
      </w:r>
      <w:r>
        <w:t>28</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"_Toc92171424" </w:instrText>
      </w:r>
      <w:r>
        <w:fldChar w:fldCharType="separate"/>
      </w:r>
      <w:r>
        <w:rPr>
          <w:rStyle w:val="20"/>
        </w:rPr>
        <w:t>二、政策保障</w:t>
      </w:r>
      <w:r>
        <w:tab/>
      </w:r>
      <w:r>
        <w:fldChar w:fldCharType="begin"/>
      </w:r>
      <w:r>
        <w:instrText xml:space="preserve"> PAGEREF _Toc92171424 \h </w:instrText>
      </w:r>
      <w:r>
        <w:fldChar w:fldCharType="separate"/>
      </w:r>
      <w:r>
        <w:t>29</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"_Toc92171425" </w:instrText>
      </w:r>
      <w:r>
        <w:fldChar w:fldCharType="separate"/>
      </w:r>
      <w:r>
        <w:rPr>
          <w:rStyle w:val="20"/>
        </w:rPr>
        <w:t>三、资金保障</w:t>
      </w:r>
      <w:r>
        <w:tab/>
      </w:r>
      <w:r>
        <w:fldChar w:fldCharType="begin"/>
      </w:r>
      <w:r>
        <w:instrText xml:space="preserve"> PAGEREF _Toc92171425 \h </w:instrText>
      </w:r>
      <w:r>
        <w:fldChar w:fldCharType="separate"/>
      </w:r>
      <w:r>
        <w:t>29</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"_Toc92171426" </w:instrText>
      </w:r>
      <w:r>
        <w:fldChar w:fldCharType="separate"/>
      </w:r>
      <w:r>
        <w:rPr>
          <w:rStyle w:val="20"/>
        </w:rPr>
        <w:t>四、宣传激励</w:t>
      </w:r>
      <w:r>
        <w:tab/>
      </w:r>
      <w:r>
        <w:fldChar w:fldCharType="begin"/>
      </w:r>
      <w:r>
        <w:instrText xml:space="preserve"> PAGEREF _Toc92171426 \h </w:instrText>
      </w:r>
      <w:r>
        <w:fldChar w:fldCharType="separate"/>
      </w:r>
      <w:r>
        <w:t>30</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"_Toc92171427" </w:instrText>
      </w:r>
      <w:r>
        <w:fldChar w:fldCharType="separate"/>
      </w:r>
      <w:r>
        <w:rPr>
          <w:rStyle w:val="20"/>
        </w:rPr>
        <w:t>五、协同发展</w:t>
      </w:r>
      <w:r>
        <w:tab/>
      </w:r>
      <w:r>
        <w:fldChar w:fldCharType="begin"/>
      </w:r>
      <w:r>
        <w:instrText xml:space="preserve"> PAGEREF _Toc92171427 \h </w:instrText>
      </w:r>
      <w:r>
        <w:fldChar w:fldCharType="separate"/>
      </w:r>
      <w:r>
        <w:t>30</w:t>
      </w:r>
      <w:r>
        <w:fldChar w:fldCharType="end"/>
      </w:r>
      <w:r>
        <w:fldChar w:fldCharType="end"/>
      </w:r>
    </w:p>
    <w:p>
      <w:pPr>
        <w:pStyle w:val="12"/>
        <w:tabs>
          <w:tab w:val="right" w:leader="dot" w:pos="8296"/>
        </w:tabs>
        <w:ind w:left="640" w:firstLine="640"/>
        <w:rPr>
          <w:rFonts w:asciiTheme="minorHAnsi" w:hAnsiTheme="minorHAnsi" w:eastAsiaTheme="minorEastAsia" w:cstheme="minorBidi"/>
          <w:sz w:val="21"/>
        </w:rPr>
      </w:pPr>
      <w:r>
        <w:fldChar w:fldCharType="begin"/>
      </w:r>
      <w:r>
        <w:instrText xml:space="preserve"> HYPERLINK \l "_Toc92171428" </w:instrText>
      </w:r>
      <w:r>
        <w:fldChar w:fldCharType="separate"/>
      </w:r>
      <w:r>
        <w:rPr>
          <w:rStyle w:val="20"/>
        </w:rPr>
        <w:t>六、督促检查</w:t>
      </w:r>
      <w:r>
        <w:tab/>
      </w:r>
      <w:r>
        <w:fldChar w:fldCharType="begin"/>
      </w:r>
      <w:r>
        <w:instrText xml:space="preserve"> PAGEREF _Toc92171428 \h </w:instrText>
      </w:r>
      <w:r>
        <w:fldChar w:fldCharType="separate"/>
      </w:r>
      <w:r>
        <w:t>31</w:t>
      </w:r>
      <w:r>
        <w:fldChar w:fldCharType="end"/>
      </w:r>
      <w:r>
        <w:fldChar w:fldCharType="end"/>
      </w:r>
    </w:p>
    <w:p>
      <w:pPr>
        <w:ind w:firstLine="643"/>
        <w:rPr>
          <w:rFonts w:ascii="仿宋" w:hAnsi="仿宋"/>
          <w:color w:val="000000"/>
          <w:sz w:val="30"/>
          <w:szCs w:val="30"/>
        </w:rPr>
      </w:pPr>
      <w:r>
        <w:rPr>
          <w:rFonts w:ascii="仿宋" w:hAnsi="仿宋"/>
          <w:b/>
          <w:bCs/>
          <w:color w:val="000000"/>
          <w:szCs w:val="32"/>
          <w:lang w:val="zh-CN"/>
        </w:rPr>
        <w:fldChar w:fldCharType="end"/>
      </w:r>
    </w:p>
    <w:bookmarkEnd w:id="0"/>
    <w:p>
      <w:pPr>
        <w:ind w:firstLine="0" w:firstLineChars="0"/>
        <w:rPr>
          <w:rFonts w:ascii="仿宋" w:hAnsi="仿宋"/>
          <w:b/>
          <w:bCs/>
          <w:color w:val="000000"/>
          <w:sz w:val="30"/>
          <w:szCs w:val="30"/>
          <w:lang w:val="zh-CN"/>
        </w:rPr>
      </w:pPr>
      <w:bookmarkStart w:id="1" w:name="_Hlk41336834"/>
    </w:p>
    <w:p>
      <w:pPr>
        <w:ind w:firstLine="0" w:firstLineChars="0"/>
        <w:jc w:val="center"/>
        <w:rPr>
          <w:rFonts w:ascii="仿宋" w:hAnsi="仿宋"/>
          <w:b/>
          <w:bCs/>
          <w:color w:val="000000"/>
          <w:sz w:val="30"/>
          <w:szCs w:val="30"/>
          <w:lang w:val="zh-CN"/>
        </w:rPr>
      </w:pPr>
    </w:p>
    <w:p>
      <w:pPr>
        <w:ind w:firstLine="0" w:firstLineChars="0"/>
        <w:jc w:val="center"/>
        <w:rPr>
          <w:rFonts w:ascii="仿宋" w:hAnsi="仿宋"/>
          <w:b/>
          <w:bCs/>
          <w:color w:val="000000"/>
          <w:sz w:val="30"/>
          <w:szCs w:val="30"/>
          <w:lang w:val="zh-CN"/>
        </w:rPr>
      </w:pPr>
    </w:p>
    <w:p>
      <w:pPr>
        <w:ind w:firstLine="0" w:firstLineChars="0"/>
        <w:jc w:val="center"/>
        <w:rPr>
          <w:rFonts w:ascii="仿宋" w:hAnsi="仿宋"/>
          <w:b/>
          <w:bCs/>
          <w:color w:val="000000"/>
          <w:sz w:val="30"/>
          <w:szCs w:val="30"/>
          <w:lang w:val="zh-CN"/>
        </w:rPr>
      </w:pPr>
    </w:p>
    <w:p>
      <w:pPr>
        <w:ind w:firstLine="0" w:firstLineChars="0"/>
        <w:jc w:val="center"/>
        <w:rPr>
          <w:rFonts w:ascii="仿宋" w:hAnsi="仿宋"/>
          <w:b/>
          <w:bCs/>
          <w:color w:val="000000"/>
          <w:sz w:val="30"/>
          <w:szCs w:val="30"/>
          <w:lang w:val="zh-CN"/>
        </w:rPr>
      </w:pPr>
    </w:p>
    <w:p>
      <w:pPr>
        <w:ind w:firstLine="0" w:firstLineChars="0"/>
        <w:jc w:val="center"/>
        <w:rPr>
          <w:rFonts w:ascii="仿宋" w:hAnsi="仿宋"/>
          <w:b/>
          <w:bCs/>
          <w:color w:val="000000"/>
          <w:sz w:val="30"/>
          <w:szCs w:val="30"/>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ind w:firstLine="0" w:firstLineChars="0"/>
        <w:jc w:val="center"/>
        <w:rPr>
          <w:rFonts w:ascii="仿宋" w:hAnsi="仿宋"/>
          <w:b/>
          <w:bCs/>
          <w:color w:val="000000"/>
          <w:szCs w:val="32"/>
          <w:lang w:val="zh-CN"/>
        </w:rPr>
      </w:pPr>
      <w:r>
        <w:rPr>
          <w:rFonts w:hint="eastAsia" w:ascii="仿宋" w:hAnsi="仿宋"/>
          <w:b/>
          <w:bCs/>
          <w:color w:val="000000"/>
          <w:szCs w:val="32"/>
          <w:lang w:val="zh-CN"/>
        </w:rPr>
        <w:t>前</w:t>
      </w:r>
      <w:r>
        <w:rPr>
          <w:rFonts w:ascii="仿宋" w:hAnsi="仿宋"/>
          <w:b/>
          <w:bCs/>
          <w:color w:val="000000"/>
          <w:szCs w:val="32"/>
          <w:lang w:val="zh-CN"/>
        </w:rPr>
        <w:t xml:space="preserve"> </w:t>
      </w:r>
      <w:r>
        <w:rPr>
          <w:rFonts w:hint="eastAsia" w:ascii="仿宋" w:hAnsi="仿宋"/>
          <w:b/>
          <w:bCs/>
          <w:color w:val="000000"/>
          <w:szCs w:val="32"/>
          <w:lang w:val="zh-CN"/>
        </w:rPr>
        <w:t>言</w:t>
      </w:r>
    </w:p>
    <w:p>
      <w:pPr>
        <w:ind w:firstLine="640"/>
        <w:rPr>
          <w:lang w:val="zh-CN"/>
        </w:rPr>
      </w:pPr>
      <w:bookmarkStart w:id="2" w:name="_Toc76637979"/>
      <w:r>
        <w:rPr>
          <w:rFonts w:hint="eastAsia"/>
          <w:lang w:val="zh-CN"/>
        </w:rPr>
        <w:t>“十三五”时期，大兴区面对外部环境的新挑战、人民群众的新期待和社会治理的新任务，坚持以人民为中心的发展理念，加强党的领导，不断提升社会治理能力和水平，社会建设各项工作取得了显著成绩。</w:t>
      </w:r>
      <w:bookmarkEnd w:id="2"/>
      <w:r>
        <w:rPr>
          <w:rFonts w:hint="eastAsia"/>
          <w:lang w:val="zh-CN"/>
        </w:rPr>
        <w:t>“十四五”时期是我国全面建成小康社会、实现第一个百年奋斗目标后，在新的起点上推进高质量发展、开启全面建设社会主义现代化国家新征程的重要阶段，是加强北京市“四个中心”功能建设，完善超大城市社会治理体系，打造新时代共建共治共享社会治理格局，奋力推动首都高质量发展，谱写新时代首都发展新篇章的重要时期。进入新发展阶段，大兴区要总结历史、面向未来、坚定信心、守正创新、科学谋划，立足“三区一门户”功能定位，以推进社会治理体系和治理能力现代化为目标，深刻把握社会治理规律，加强和创新社会治理，为建设“现代化平原新城、首都发展新的增长极、繁荣开放美丽新国门”奠定坚实的社会基础。</w:t>
      </w:r>
    </w:p>
    <w:p>
      <w:pPr>
        <w:ind w:firstLine="640"/>
        <w:rPr>
          <w:rFonts w:hAnsi="仿宋"/>
          <w:color w:val="000000"/>
          <w:szCs w:val="32"/>
        </w:rPr>
      </w:pPr>
      <w:r>
        <w:rPr>
          <w:rFonts w:hint="eastAsia"/>
        </w:rPr>
        <w:t>本规划主要依据《中共中央关于坚持和完善中国特色社会主义制度 推进国家治理体系和治理能力现代化若干重大问题的决定》《中共中央关于制定国民经济和社会发展第十四个五年规划和二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三五年远景目标的建议》《中华人民共和国国民经济和社会发展第十四个五年</w:t>
      </w:r>
      <w:r>
        <w:rPr>
          <w:rFonts w:hint="eastAsia"/>
        </w:rPr>
        <w:t>规划和2035年远景目标纲要》《北京城市总体规划(2016年—2035年) 》《中共北京市委贯彻〈中共中央关于坚持和完善中国特色社会主义制度 推进国家治理体系和治理能力现代化若干重大问题的决定〉的实施意见》《中共北京市委关于制定国民经济和社会发展第十四个五年规划和二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三五年远景目标的建议》《北京市国民经济和社会发展第十四个五年规划和二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三五年远景目标纲要》《北京市“十四五”时期社会治理规划》《北京市大兴区国民经济和社会发展第十四个五年规划和二</w:t>
      </w:r>
      <w:r>
        <w:rPr>
          <w:rFonts w:hint="eastAsia" w:ascii="微软雅黑" w:hAnsi="微软雅黑" w:eastAsia="微软雅黑" w:cs="微软雅黑"/>
        </w:rPr>
        <w:t>〇</w:t>
      </w:r>
      <w:r>
        <w:rPr>
          <w:rFonts w:hint="eastAsia" w:hAnsi="仿宋_GB2312" w:cs="仿宋_GB2312"/>
        </w:rPr>
        <w:t>三五年远景目标纲要》等有关文件编制，结合“十四五”时期大兴区社会</w:t>
      </w:r>
      <w:r>
        <w:rPr>
          <w:rFonts w:hint="eastAsia"/>
        </w:rPr>
        <w:t>建设新形势，提出了社会治理的总体要求、主要任务和保障措施，是推动社会治理发展的综合性、基础性、指导性文件。</w:t>
      </w:r>
    </w:p>
    <w:p>
      <w:pPr>
        <w:ind w:firstLine="640"/>
      </w:pPr>
      <w:r>
        <w:rPr>
          <w:rFonts w:hint="eastAsia"/>
        </w:rPr>
        <w:t>本规划期限为2021年-2025年。</w:t>
      </w:r>
    </w:p>
    <w:p>
      <w:pPr>
        <w:pStyle w:val="15"/>
        <w:rPr>
          <w:sz w:val="36"/>
          <w:szCs w:val="36"/>
        </w:rPr>
      </w:pPr>
      <w:bookmarkStart w:id="3" w:name="_Toc76637982"/>
      <w:bookmarkStart w:id="4" w:name="_Toc92171393"/>
      <w:r>
        <w:rPr>
          <w:rFonts w:hint="eastAsia"/>
          <w:sz w:val="36"/>
          <w:szCs w:val="36"/>
        </w:rPr>
        <w:t>第一章 规划背景</w:t>
      </w:r>
      <w:bookmarkEnd w:id="3"/>
      <w:bookmarkEnd w:id="4"/>
    </w:p>
    <w:p>
      <w:pPr>
        <w:pStyle w:val="3"/>
        <w:ind w:firstLine="643"/>
      </w:pPr>
      <w:bookmarkStart w:id="5" w:name="_Toc76637983"/>
      <w:bookmarkStart w:id="6" w:name="_Toc92171394"/>
      <w:r>
        <w:rPr>
          <w:rFonts w:hint="eastAsia"/>
        </w:rPr>
        <w:t>一、“十三五”时期社会治理</w:t>
      </w:r>
      <w:bookmarkEnd w:id="5"/>
      <w:r>
        <w:rPr>
          <w:rFonts w:hint="eastAsia"/>
        </w:rPr>
        <w:t>蹄疾步稳</w:t>
      </w:r>
      <w:bookmarkEnd w:id="6"/>
    </w:p>
    <w:p>
      <w:pPr>
        <w:ind w:firstLine="640"/>
        <w:rPr>
          <w:lang w:val="zh-CN"/>
        </w:rPr>
      </w:pPr>
      <w:r>
        <w:rPr>
          <w:rFonts w:hint="eastAsia"/>
          <w:lang w:val="zh-CN"/>
        </w:rPr>
        <w:t>“十三五”时期，大兴区社会治理工作始终坚持以习近平新时代中国特色社会主义思想为指导，认真贯彻落实党的十九大以及十九届二中、三中、四中、五中全会精神，在大兴区委区政府的坚强领导和决策部署下，攻坚克难、爬坡过坎，社会治理能力和治理水平不断提升，共建共治共享格局逐步形成，社会治理现代化步伐加快，为</w:t>
      </w:r>
      <w:r>
        <w:rPr>
          <w:lang w:val="zh-CN"/>
        </w:rPr>
        <w:t>“</w:t>
      </w:r>
      <w:r>
        <w:rPr>
          <w:rFonts w:hint="eastAsia"/>
          <w:lang w:val="zh-CN"/>
        </w:rPr>
        <w:t>十四五</w:t>
      </w:r>
      <w:r>
        <w:rPr>
          <w:lang w:val="zh-CN"/>
        </w:rPr>
        <w:t>”</w:t>
      </w:r>
      <w:r>
        <w:rPr>
          <w:rFonts w:hint="eastAsia"/>
          <w:lang w:val="zh-CN"/>
        </w:rPr>
        <w:t>开局奠定了良好基础。</w:t>
      </w:r>
    </w:p>
    <w:p>
      <w:pPr>
        <w:pStyle w:val="4"/>
        <w:ind w:firstLine="643"/>
        <w:rPr>
          <w:rFonts w:ascii="仿宋" w:hAnsi="仿宋" w:cs="宋体"/>
          <w:color w:val="000000"/>
          <w:sz w:val="32"/>
          <w:lang w:val="zh-CN"/>
        </w:rPr>
      </w:pPr>
      <w:bookmarkStart w:id="7" w:name="_Toc76637984"/>
      <w:bookmarkStart w:id="8" w:name="_Toc92171395"/>
      <w:r>
        <w:rPr>
          <w:rFonts w:hint="eastAsia"/>
          <w:sz w:val="32"/>
        </w:rPr>
        <w:t>（一）社会领域党建</w:t>
      </w:r>
      <w:bookmarkEnd w:id="7"/>
      <w:r>
        <w:rPr>
          <w:rFonts w:hint="eastAsia"/>
          <w:sz w:val="32"/>
        </w:rPr>
        <w:t>更加深入</w:t>
      </w:r>
      <w:bookmarkEnd w:id="8"/>
    </w:p>
    <w:p>
      <w:pPr>
        <w:ind w:firstLine="643"/>
        <w:rPr>
          <w:lang w:val="zh-CN"/>
        </w:rPr>
      </w:pPr>
      <w:r>
        <w:rPr>
          <w:rFonts w:hint="eastAsia"/>
          <w:b/>
          <w:bCs/>
          <w:lang w:val="zh-CN"/>
        </w:rPr>
        <w:t>党建引领作用充分发挥。</w:t>
      </w:r>
      <w:r>
        <w:rPr>
          <w:rFonts w:hint="eastAsia"/>
          <w:lang w:val="zh-CN"/>
        </w:rPr>
        <w:t>加强党建引领社会治理顶层设计，发挥社会建设工作领导小组统筹协调作用。实施社会领域党建推进工程，充分发挥区、镇（街）、村（社区）三级党建工作协调委员会作用，整合社会资源，强化共建互补，形成“聚合”态势，构建社区党建、单位党建、行业党建（新兴领域党建）多方联动的基层党建工作体系，深入推进区域化党建工作，强化党的领导在社会领域的影响力，提升社会组织的服务能力。在新冠肺炎疫情防控中，社会领域党组织和党员以多种形式参与，发挥了先锋模范作用。</w:t>
      </w:r>
    </w:p>
    <w:p>
      <w:pPr>
        <w:ind w:firstLine="643"/>
        <w:rPr>
          <w:rFonts w:cs="宋体"/>
          <w:lang w:val="zh-CN"/>
        </w:rPr>
      </w:pPr>
      <w:r>
        <w:rPr>
          <w:rFonts w:hint="eastAsia" w:cs="宋体"/>
          <w:b/>
          <w:bCs/>
          <w:lang w:val="zh-CN"/>
        </w:rPr>
        <w:t>党组织覆盖率明显提升。</w:t>
      </w:r>
      <w:r>
        <w:rPr>
          <w:rFonts w:hint="eastAsia"/>
          <w:lang w:val="zh-CN"/>
        </w:rPr>
        <w:t>社会组织党组织和党的工作覆盖率显著提升。加大对社区党组织建设的支持力度，实现楼门院、物业服务企业等社区治理主体党的工作全覆盖。以社区服务中心为主体，把“枢纽型组织”党建与行业协会党建融合贯通、有效衔接，实现行业层面“枢纽型组织”党的工作全覆盖。</w:t>
      </w:r>
    </w:p>
    <w:p>
      <w:pPr>
        <w:pStyle w:val="4"/>
        <w:ind w:firstLine="643"/>
        <w:rPr>
          <w:sz w:val="32"/>
        </w:rPr>
      </w:pPr>
      <w:bookmarkStart w:id="9" w:name="_Toc92171396"/>
      <w:bookmarkStart w:id="10" w:name="_Toc76637985"/>
      <w:r>
        <w:rPr>
          <w:rFonts w:hint="eastAsia"/>
          <w:sz w:val="32"/>
        </w:rPr>
        <w:t>（二）社会服务体系持续完善</w:t>
      </w:r>
      <w:bookmarkEnd w:id="9"/>
      <w:bookmarkEnd w:id="10"/>
    </w:p>
    <w:p>
      <w:pPr>
        <w:ind w:firstLine="643"/>
        <w:rPr>
          <w:lang w:val="zh-CN"/>
        </w:rPr>
      </w:pPr>
      <w:r>
        <w:rPr>
          <w:rFonts w:hint="eastAsia"/>
          <w:b/>
          <w:bCs/>
          <w:lang w:val="zh-CN"/>
        </w:rPr>
        <w:t>社会服务改革持续深化。</w:t>
      </w:r>
      <w:r>
        <w:rPr>
          <w:rFonts w:hint="eastAsia"/>
          <w:lang w:val="zh-CN"/>
        </w:rPr>
        <w:t xml:space="preserve">紧扣“七有”目标和“五性”需求，民生保障精准化和社会治理精细化持续推进。公共服务事项入驻区级政务服务大厅，实现一站式审批，优化审批效能，压缩审批时限。落实社会救助领域减证便民，简化高等教育新生入学救助申请材料和采暖救助申请材料；简化超转人员变更定点医疗机构流程和转诊手续；社会组织审批遵循“一网通办”原则，同时根据社会组织个性化需求，实行现场办理等差异化办理。积极探索“养老+商服”模式。推进“五个一”社区规范捐助站点全覆盖。强化“智慧社区”与“宜居社区”深度融合。 </w:t>
      </w:r>
    </w:p>
    <w:p>
      <w:pPr>
        <w:ind w:firstLine="643"/>
        <w:rPr>
          <w:b/>
          <w:bCs/>
          <w:lang w:val="zh-CN"/>
        </w:rPr>
      </w:pPr>
      <w:r>
        <w:rPr>
          <w:rFonts w:hint="eastAsia"/>
          <w:b/>
          <w:bCs/>
          <w:lang w:val="zh-CN"/>
        </w:rPr>
        <w:t>社会服务基础不断夯实。</w:t>
      </w:r>
      <w:r>
        <w:rPr>
          <w:rFonts w:hint="eastAsia"/>
          <w:lang w:val="zh-CN"/>
        </w:rPr>
        <w:t>普惠性、基础性、兜底性民生建设持续加强，教育、就业、医疗、养老、住房、困难群众帮扶等方面的制度和体制机制不断完善，市民生活多样化需求得到基本满足。新增义务教育学位2.4万个，引进清华附中、育才学校等优质教育资源，获得“北京市建设学习型城市示范区”称号，医疗卫生机构、养老服务机构分别增至823家、186家，建成保障性住房7万套，设立全市首家24小时城市书房，实现“一刻钟社区服务圈”城市社区全覆盖，9个村级社会服务试点成效显著，建成5个社会心理服务中心（站）。</w:t>
      </w:r>
    </w:p>
    <w:p>
      <w:pPr>
        <w:pStyle w:val="4"/>
        <w:ind w:firstLine="643"/>
        <w:rPr>
          <w:sz w:val="32"/>
        </w:rPr>
      </w:pPr>
      <w:bookmarkStart w:id="11" w:name="_Toc92171397"/>
      <w:bookmarkStart w:id="12" w:name="_Toc76637986"/>
      <w:r>
        <w:rPr>
          <w:rFonts w:hint="eastAsia"/>
          <w:sz w:val="32"/>
        </w:rPr>
        <w:t>（三）社会管理体制逐步健全</w:t>
      </w:r>
      <w:bookmarkEnd w:id="11"/>
      <w:bookmarkEnd w:id="12"/>
    </w:p>
    <w:p>
      <w:pPr>
        <w:ind w:firstLine="643"/>
        <w:rPr>
          <w:b/>
          <w:bCs/>
          <w:lang w:val="zh-CN"/>
        </w:rPr>
      </w:pPr>
      <w:r>
        <w:rPr>
          <w:rFonts w:hint="eastAsia"/>
          <w:b/>
          <w:bCs/>
          <w:lang w:val="zh-CN"/>
        </w:rPr>
        <w:t>创新社会治理实践。</w:t>
      </w:r>
      <w:r>
        <w:rPr>
          <w:rFonts w:hint="eastAsia"/>
          <w:lang w:val="zh-CN"/>
        </w:rPr>
        <w:t>在疫情防控工作中，完善突发公共卫生事件社区治理体系。引入社会资本愿景集团，以清源街道枣园社区、兴丰街道三合南里社区为试点，推进老旧小区有机更新，形成“片区统筹、街区更新”模式。完成老旧小区电力改造工程（内线部分）项目，改善3.3万户居民的用电条件。组建“物业超市”，为全区56个“三无”社区引入规范物业公司，实现物业管理全覆盖，进一步夯实基层治理基础。</w:t>
      </w:r>
    </w:p>
    <w:p>
      <w:pPr>
        <w:ind w:firstLine="643"/>
      </w:pPr>
      <w:r>
        <w:rPr>
          <w:rFonts w:hint="eastAsia"/>
          <w:b/>
          <w:bCs/>
          <w:lang w:val="zh-CN"/>
        </w:rPr>
        <w:t>推动社会治理重心下移。</w:t>
      </w:r>
      <w:r>
        <w:rPr>
          <w:rFonts w:hint="eastAsia"/>
        </w:rPr>
        <w:t>“接诉即办”机制更加完善，逐步形成“百姓民声促决策、部门决策应民声”的政务服务新格局。创新“拉家常”议事会机制，以群众需求为导向，推进社区民主协商，丰富居民议事形式。推动“接诉即办”向主动治理转变，形成党建物业联合体、空中议事厅、社区连心桥等17种典型工作模式，引导群众有序参与社区治理，实现基层善治共享。全面启动协管员队伍管理体制改革工作，完善下沉配套机制，建立“大兴区协管员综合服务管理平台”，推动8722名协管员下沉镇街，纳入属地管理，对人员整合、人员选聘、职责划分、网格管理等工作机制进行梳理、研究。</w:t>
      </w:r>
    </w:p>
    <w:p>
      <w:pPr>
        <w:ind w:firstLine="643"/>
        <w:rPr>
          <w:lang w:val="zh-CN"/>
        </w:rPr>
      </w:pPr>
      <w:r>
        <w:rPr>
          <w:rFonts w:hint="eastAsia"/>
          <w:b/>
          <w:bCs/>
          <w:lang w:val="zh-CN"/>
        </w:rPr>
        <w:t>不断加强基层政权建设。</w:t>
      </w:r>
      <w:r>
        <w:rPr>
          <w:rFonts w:hint="eastAsia"/>
          <w:lang w:val="zh-CN"/>
        </w:rPr>
        <w:t>圆满完成村和社区“两委”换届工作。加快推进撤村建居工作，按照“撤村不撤社”原则，制定《大兴区关于撤销村民委员会建制的工作方案》《大兴区撤销村民委员会建制建立居民委员会的实施意见》。不断提高乡村社会文明程度，制定《关于进一步发挥</w:t>
      </w:r>
      <w:r>
        <w:rPr>
          <w:lang w:val="zh-CN"/>
        </w:rPr>
        <w:t>&lt;村民自治章程&gt;作用有关工作的指导意见》，</w:t>
      </w:r>
      <w:r>
        <w:rPr>
          <w:rFonts w:hint="eastAsia"/>
          <w:lang w:val="zh-CN"/>
        </w:rPr>
        <w:t>印发《村民自治章程》及其实施细则的区级范本，指导各镇村修订完善村规民约。</w:t>
      </w:r>
    </w:p>
    <w:p>
      <w:pPr>
        <w:pStyle w:val="4"/>
        <w:ind w:firstLine="643"/>
        <w:rPr>
          <w:sz w:val="32"/>
        </w:rPr>
      </w:pPr>
      <w:bookmarkStart w:id="13" w:name="_Toc76637987"/>
      <w:bookmarkStart w:id="14" w:name="_Toc92171398"/>
      <w:r>
        <w:rPr>
          <w:rFonts w:hint="eastAsia"/>
          <w:sz w:val="32"/>
        </w:rPr>
        <w:t>（四）社会动员能力</w:t>
      </w:r>
      <w:bookmarkEnd w:id="13"/>
      <w:r>
        <w:rPr>
          <w:rFonts w:hint="eastAsia"/>
          <w:sz w:val="32"/>
        </w:rPr>
        <w:t>不断提升</w:t>
      </w:r>
      <w:bookmarkEnd w:id="14"/>
    </w:p>
    <w:p>
      <w:pPr>
        <w:ind w:firstLine="643"/>
      </w:pPr>
      <w:r>
        <w:rPr>
          <w:rFonts w:hint="eastAsia" w:ascii="仿宋" w:hAnsi="仿宋" w:cs="宋体"/>
          <w:b/>
          <w:bCs/>
          <w:color w:val="000000"/>
          <w:szCs w:val="32"/>
          <w:lang w:val="zh-CN"/>
        </w:rPr>
        <w:t>社会组织更具活力。</w:t>
      </w:r>
      <w:r>
        <w:rPr>
          <w:rFonts w:hint="eastAsia"/>
        </w:rPr>
        <w:t>构建社会治理行业协会格局，成立大兴区养老服务行业协会、大兴区老龄产业协会、大兴区殡葬行业协会、大兴区社会工作行业协会，在养老、殡葬、社会工作等专业领域形成行业引领、龙头带动、多元参与、合作共赢的生动局面。规范大兴区慈善协会、大兴区社会组织联合会，动员社会力量积极参与大兴区慈善事业、社会建设、社区治理等领域的工作。借助社工、社会组织等力量，推进村庄社区化管理，凝聚农村各类群体积极参与，构建农村社区社会治理共同体。“十三五”末全区拥有社会组织</w:t>
      </w:r>
      <w:r>
        <w:t>611</w:t>
      </w:r>
      <w:r>
        <w:rPr>
          <w:rFonts w:hint="eastAsia"/>
        </w:rPr>
        <w:t>个，镇街级社会组织联合会覆盖率达</w:t>
      </w:r>
      <w:r>
        <w:t>10%。</w:t>
      </w:r>
    </w:p>
    <w:p>
      <w:pPr>
        <w:ind w:firstLine="643"/>
        <w:rPr>
          <w:rFonts w:ascii="仿宋" w:hAnsi="仿宋" w:cs="宋体"/>
          <w:color w:val="000000"/>
          <w:szCs w:val="32"/>
          <w:lang w:val="zh-CN"/>
        </w:rPr>
      </w:pPr>
      <w:r>
        <w:rPr>
          <w:rFonts w:hint="eastAsia" w:ascii="仿宋" w:hAnsi="仿宋" w:cs="宋体"/>
          <w:b/>
          <w:bCs/>
          <w:color w:val="000000"/>
          <w:szCs w:val="32"/>
          <w:lang w:val="zh-CN"/>
        </w:rPr>
        <w:t>社会工作队伍更加专业。</w:t>
      </w:r>
      <w:r>
        <w:rPr>
          <w:rFonts w:hint="eastAsia"/>
        </w:rPr>
        <w:t>聚焦超大城市精细化治理，加大社会工作人才培养力度，打造社会治理的生力军。对社会工作者队伍进行梳理，细分服务领域，开展专业培训，提升工作能力和水平。“十三五”末社会工作专业人才总量达</w:t>
      </w:r>
      <w:r>
        <w:t>0.28</w:t>
      </w:r>
      <w:r>
        <w:rPr>
          <w:rFonts w:hint="eastAsia"/>
        </w:rPr>
        <w:t>万人，获得社会工作者职业水平证书的专业人才达</w:t>
      </w:r>
      <w:r>
        <w:t>0.12</w:t>
      </w:r>
      <w:r>
        <w:rPr>
          <w:rFonts w:hint="eastAsia"/>
        </w:rPr>
        <w:t>万人，社区工作者持社会工作职业水平证书比率达到</w:t>
      </w:r>
      <w:r>
        <w:t>39%</w:t>
      </w:r>
      <w:r>
        <w:rPr>
          <w:rFonts w:hint="eastAsia"/>
        </w:rPr>
        <w:t>。</w:t>
      </w:r>
    </w:p>
    <w:p>
      <w:pPr>
        <w:pStyle w:val="3"/>
        <w:ind w:firstLine="643"/>
      </w:pPr>
      <w:bookmarkStart w:id="15" w:name="_Toc76637990"/>
      <w:bookmarkStart w:id="16" w:name="_Toc92171399"/>
      <w:r>
        <w:rPr>
          <w:rFonts w:hint="eastAsia"/>
        </w:rPr>
        <w:t>二、“十四五”时期社会治理</w:t>
      </w:r>
      <w:bookmarkEnd w:id="15"/>
      <w:r>
        <w:rPr>
          <w:rFonts w:hint="eastAsia"/>
        </w:rPr>
        <w:t>勇毅笃行</w:t>
      </w:r>
      <w:bookmarkEnd w:id="16"/>
    </w:p>
    <w:p>
      <w:pPr>
        <w:ind w:firstLine="640"/>
      </w:pPr>
      <w:r>
        <w:rPr>
          <w:lang w:val="zh-CN"/>
        </w:rPr>
        <w:t>“</w:t>
      </w:r>
      <w:r>
        <w:rPr>
          <w:rFonts w:hint="eastAsia"/>
          <w:lang w:val="zh-CN"/>
        </w:rPr>
        <w:t>十四五”时期，我国进入社会主义现代化国家建设的新阶段，面临新的机遇和挑战，需要主动适应社会领域的深刻变化，增强机遇意识和风险意识，把握发展规律，推动大兴区社会治理不断创新，让</w:t>
      </w:r>
      <w:r>
        <w:t>发展成果更好惠及全体人民</w:t>
      </w:r>
      <w:r>
        <w:rPr>
          <w:rFonts w:hint="eastAsia"/>
        </w:rPr>
        <w:t>。</w:t>
      </w:r>
    </w:p>
    <w:p>
      <w:pPr>
        <w:pStyle w:val="4"/>
        <w:ind w:firstLine="643"/>
        <w:rPr>
          <w:sz w:val="32"/>
        </w:rPr>
      </w:pPr>
      <w:bookmarkStart w:id="17" w:name="_Toc76637991"/>
      <w:bookmarkStart w:id="18" w:name="_Toc92171400"/>
      <w:r>
        <w:rPr>
          <w:rFonts w:hint="eastAsia"/>
          <w:sz w:val="32"/>
        </w:rPr>
        <w:t>（一）</w:t>
      </w:r>
      <w:bookmarkEnd w:id="17"/>
      <w:r>
        <w:rPr>
          <w:rFonts w:hint="eastAsia"/>
          <w:sz w:val="32"/>
        </w:rPr>
        <w:t>人民对美好生活的向往提出新需求</w:t>
      </w:r>
      <w:bookmarkEnd w:id="18"/>
    </w:p>
    <w:p>
      <w:pPr>
        <w:ind w:firstLine="640"/>
        <w:rPr>
          <w:lang w:val="zh-CN"/>
        </w:rPr>
      </w:pPr>
      <w:r>
        <w:rPr>
          <w:rFonts w:hint="eastAsia"/>
          <w:lang w:val="zh-CN"/>
        </w:rPr>
        <w:t>我国社会主要矛盾已经转化为人民日益增长的美好生活需要和不平衡不充分的发展之间的矛盾，人民群众对物质文化生活提出了更高要求，对民主、法治、公平、正义、安全、环境等方面的要求也日益增长。“十四五”时期，要深刻认识社会主要矛盾变化带来的新要求、新挑战，既要继续抓好培育和践行社会主义核心价值观这一重要工作，又要加大对美好生活的塑造力度，大力开展美好生活教育，完善共建共治共享的社会治理制度，引导广大人民群众为美好生活共同奋斗，不断推动社会文明进步。</w:t>
      </w:r>
    </w:p>
    <w:p>
      <w:pPr>
        <w:pStyle w:val="4"/>
        <w:ind w:firstLine="643"/>
        <w:rPr>
          <w:sz w:val="32"/>
        </w:rPr>
      </w:pPr>
      <w:bookmarkStart w:id="19" w:name="_Toc92171401"/>
      <w:r>
        <w:rPr>
          <w:rFonts w:hint="eastAsia"/>
          <w:sz w:val="32"/>
        </w:rPr>
        <w:t>（二）现代化社会治理体系提出新目标</w:t>
      </w:r>
      <w:bookmarkEnd w:id="19"/>
    </w:p>
    <w:p>
      <w:pPr>
        <w:ind w:firstLine="640"/>
        <w:rPr>
          <w:rFonts w:ascii="仿宋" w:hAnsi="仿宋" w:cs="宋体"/>
          <w:color w:val="000000"/>
          <w:szCs w:val="32"/>
          <w:lang w:val="zh-CN"/>
        </w:rPr>
      </w:pPr>
      <w:r>
        <w:rPr>
          <w:rFonts w:hint="eastAsia" w:ascii="仿宋" w:hAnsi="仿宋" w:cs="宋体"/>
          <w:color w:val="000000"/>
          <w:szCs w:val="32"/>
          <w:lang w:val="zh-CN"/>
        </w:rPr>
        <w:t>大</w:t>
      </w:r>
      <w:r>
        <w:rPr>
          <w:rFonts w:hint="eastAsia"/>
        </w:rPr>
        <w:t>力推进社会治理体系和治理能力现代化，需要不断推动社会治理体制机制创新。坚持党对社会治理工作的全面领导，提升党建工作质量，全面强化基层党组织战斗堡垒作用。转变政府职能，完善多元主体参与的社会治理体系，激发多元主体共建共治、共享共赢的活力，构建政府、社会、市场多方参与的社会治理格局，共同管理好社会公共事务，</w:t>
      </w:r>
      <w:r>
        <w:t>提升应对重大突发公共事件的能力，</w:t>
      </w:r>
      <w:r>
        <w:rPr>
          <w:rFonts w:hint="eastAsia"/>
        </w:rPr>
        <w:t>以市域社会治理现代化建设为抓手，积极探索城乡融合、协调发展的规律，全面增强城</w:t>
      </w:r>
      <w:r>
        <w:rPr>
          <w:rFonts w:hint="eastAsia" w:ascii="仿宋" w:hAnsi="仿宋" w:cs="宋体"/>
          <w:color w:val="000000"/>
          <w:szCs w:val="32"/>
          <w:lang w:val="zh-CN"/>
        </w:rPr>
        <w:t>市发展韧性，</w:t>
      </w:r>
      <w:r>
        <w:rPr>
          <w:rFonts w:ascii="仿宋" w:hAnsi="仿宋" w:cs="宋体"/>
          <w:color w:val="000000"/>
          <w:szCs w:val="32"/>
          <w:lang w:val="zh-CN"/>
        </w:rPr>
        <w:t>增强社会治理的预见性、准确性、高效性</w:t>
      </w:r>
      <w:r>
        <w:rPr>
          <w:rFonts w:hint="eastAsia" w:ascii="仿宋" w:hAnsi="仿宋" w:cs="宋体"/>
          <w:color w:val="000000"/>
          <w:szCs w:val="32"/>
          <w:lang w:val="zh-CN"/>
        </w:rPr>
        <w:t>，保持社会稳定、维护国家安全。</w:t>
      </w:r>
    </w:p>
    <w:p>
      <w:pPr>
        <w:pStyle w:val="4"/>
        <w:ind w:firstLine="643"/>
        <w:rPr>
          <w:sz w:val="32"/>
        </w:rPr>
      </w:pPr>
      <w:bookmarkStart w:id="20" w:name="_Toc76637992"/>
      <w:bookmarkStart w:id="21" w:name="_Toc92171402"/>
      <w:r>
        <w:rPr>
          <w:rFonts w:hint="eastAsia"/>
          <w:sz w:val="32"/>
        </w:rPr>
        <w:t>（三）</w:t>
      </w:r>
      <w:bookmarkEnd w:id="20"/>
      <w:r>
        <w:rPr>
          <w:rFonts w:hint="eastAsia"/>
          <w:sz w:val="32"/>
        </w:rPr>
        <w:t>基层社会治理能力提出新标准</w:t>
      </w:r>
      <w:bookmarkEnd w:id="21"/>
    </w:p>
    <w:p>
      <w:pPr>
        <w:ind w:firstLine="640"/>
        <w:rPr>
          <w:lang w:val="zh-CN"/>
        </w:rPr>
      </w:pPr>
      <w:r>
        <w:rPr>
          <w:rFonts w:hint="eastAsia"/>
          <w:lang w:val="zh-CN"/>
        </w:rPr>
        <w:t>围绕北京率先基本实现社会主义现代化的远景目标，必须扎实推进首都基层社会治理能力现代化，自觉把基层社会治理纳入超大城市社会治理体系和治理能力现代化建设中。建立起党组织统一领导、政府依法履责、各类组织积极协同、群众广泛参与，自治、法治、德治相结合的基层治理体系，健全常态化管理和应急管理动态衔接的基层治理机制，构建网格化管理、精细化服务、信息化支撑、开放共享的基层管理服务平台。实现党建引领基层治理机制全面完善，基层政权坚强有力，基层群众自治充满活力，基层公共服务精准高效，党的执政基础更加坚实，基层治理体系和治理能力现代化水平明显提高。</w:t>
      </w:r>
    </w:p>
    <w:p>
      <w:pPr>
        <w:pStyle w:val="4"/>
        <w:ind w:firstLine="643"/>
        <w:rPr>
          <w:sz w:val="32"/>
        </w:rPr>
      </w:pPr>
      <w:bookmarkStart w:id="22" w:name="_Toc76637993"/>
      <w:bookmarkStart w:id="23" w:name="_Toc92171403"/>
      <w:r>
        <w:rPr>
          <w:rFonts w:hint="eastAsia"/>
          <w:sz w:val="32"/>
        </w:rPr>
        <w:t>（四）大兴区社会治理面临新任务</w:t>
      </w:r>
      <w:bookmarkEnd w:id="22"/>
      <w:bookmarkEnd w:id="23"/>
    </w:p>
    <w:p>
      <w:pPr>
        <w:ind w:firstLine="640"/>
        <w:rPr>
          <w:lang w:val="zh-CN"/>
        </w:rPr>
      </w:pPr>
      <w:r>
        <w:rPr>
          <w:rFonts w:hint="eastAsia"/>
          <w:lang w:val="zh-CN"/>
        </w:rPr>
        <w:t>“十四五”时期，大兴区进入加快建设宜居宜业新大兴、繁荣开放新国门的关键时期，要坚持“以人民为中心”的发展思想，勇毅前行，推动社会治理高质量发展。坚持以解决群众身边的小事、难事、烦心事为目标，紧紧抓住疏解非首都功能这个“牛鼻子”，在深化疏解、强化治理、优化提升上下功夫，高水平推进“接诉即办”，优化完善基层治理体系，常态化推进扫黑除恶斗争，努力营造整洁有序的城市面貌和便利宜居的生活环境，维护社会和谐稳定，推动平安大兴、和谐大兴、法治大兴建设迈出新步伐。</w:t>
      </w:r>
      <w:r>
        <w:rPr>
          <w:lang w:val="zh-CN"/>
        </w:rPr>
        <w:t xml:space="preserve"> </w:t>
      </w:r>
    </w:p>
    <w:p>
      <w:pPr>
        <w:widowControl/>
        <w:spacing w:line="240" w:lineRule="auto"/>
        <w:ind w:firstLine="0" w:firstLineChars="0"/>
        <w:jc w:val="left"/>
        <w:rPr>
          <w:lang w:val="zh-CN"/>
        </w:rPr>
      </w:pPr>
      <w:r>
        <w:rPr>
          <w:lang w:val="zh-CN"/>
        </w:rPr>
        <w:br w:type="page"/>
      </w:r>
    </w:p>
    <w:p>
      <w:pPr>
        <w:pStyle w:val="15"/>
        <w:rPr>
          <w:sz w:val="36"/>
          <w:szCs w:val="36"/>
          <w:lang w:val="zh-CN"/>
        </w:rPr>
      </w:pPr>
      <w:bookmarkStart w:id="24" w:name="_Toc92171404"/>
      <w:bookmarkStart w:id="25" w:name="_Toc76637994"/>
      <w:r>
        <w:rPr>
          <w:rFonts w:hint="eastAsia"/>
          <w:sz w:val="36"/>
          <w:szCs w:val="36"/>
          <w:lang w:val="zh-CN"/>
        </w:rPr>
        <w:t>第二章</w:t>
      </w:r>
      <w:r>
        <w:rPr>
          <w:sz w:val="36"/>
          <w:szCs w:val="36"/>
          <w:lang w:val="zh-CN"/>
        </w:rPr>
        <w:t xml:space="preserve"> </w:t>
      </w:r>
      <w:r>
        <w:rPr>
          <w:rFonts w:hint="eastAsia"/>
          <w:sz w:val="36"/>
          <w:szCs w:val="36"/>
          <w:lang w:val="zh-CN"/>
        </w:rPr>
        <w:t>总体要求</w:t>
      </w:r>
      <w:bookmarkEnd w:id="24"/>
      <w:bookmarkEnd w:id="25"/>
    </w:p>
    <w:p>
      <w:pPr>
        <w:pStyle w:val="3"/>
        <w:ind w:firstLine="643"/>
      </w:pPr>
      <w:bookmarkStart w:id="26" w:name="_Toc76637995"/>
      <w:bookmarkStart w:id="27" w:name="_Toc92171405"/>
      <w:r>
        <w:rPr>
          <w:rFonts w:hint="eastAsia"/>
        </w:rPr>
        <w:t>一、指导思想</w:t>
      </w:r>
      <w:bookmarkEnd w:id="26"/>
      <w:bookmarkEnd w:id="27"/>
    </w:p>
    <w:p>
      <w:pPr>
        <w:ind w:firstLine="640"/>
        <w:rPr>
          <w:lang w:val="zh-CN"/>
        </w:rPr>
      </w:pPr>
      <w:r>
        <w:rPr>
          <w:rFonts w:hint="eastAsia"/>
          <w:lang w:val="zh-CN"/>
        </w:rPr>
        <w:t>坚持以习近平新时代中国特色社会主义思想为指导，以习近平总书记对社会建设的重要批示、重要论述为根本遵循，深入贯彻党的十九大和十九届二中、三中、四中、五中、六中全会精神，牢记习近平总书记“要把大兴建设好”的嘱托，认真贯彻落实中央、市委、区委关于社会治理的系列决策部署，加强党的全面领导，统筹推进“五位一体”总体布局，协调推进“四个全面”战略布局，立足首都城市战略定位，践行新发展理念，融入新发展格局，把握服务保障冬奥会筹办和“立足大兴、辐射全国、面向世界”的“新国门”机场临空经济区建设，以推进高质量发展为主题，以改革创新为根本动力，以满足人民日益增长的美好生活需求为根本目的，以社会建设领域“大兴社区复兴计划”为统领，全面推进社会治理体系和治理能力现代化，建设好现代化平原新城、首都发展新的增长极、繁荣开放美丽新国门。</w:t>
      </w:r>
    </w:p>
    <w:p>
      <w:pPr>
        <w:pStyle w:val="3"/>
        <w:ind w:firstLine="643"/>
      </w:pPr>
      <w:bookmarkStart w:id="28" w:name="_Toc76637996"/>
      <w:bookmarkStart w:id="29" w:name="_Toc92171406"/>
      <w:r>
        <w:rPr>
          <w:rFonts w:hint="eastAsia"/>
        </w:rPr>
        <w:t>二、基本原则</w:t>
      </w:r>
      <w:bookmarkEnd w:id="28"/>
      <w:bookmarkEnd w:id="29"/>
    </w:p>
    <w:p>
      <w:pPr>
        <w:ind w:firstLine="643"/>
        <w:rPr>
          <w:rFonts w:ascii="仿宋" w:hAnsi="仿宋"/>
          <w:color w:val="000000"/>
          <w:szCs w:val="32"/>
          <w:lang w:val="zh-CN"/>
        </w:rPr>
      </w:pPr>
      <w:r>
        <w:rPr>
          <w:rFonts w:hint="eastAsia" w:ascii="仿宋" w:hAnsi="仿宋"/>
          <w:b/>
          <w:bCs/>
          <w:color w:val="000000"/>
          <w:szCs w:val="32"/>
          <w:lang w:val="zh-CN"/>
        </w:rPr>
        <w:t>（一）坚持党的领导，统筹协调。</w:t>
      </w:r>
      <w:r>
        <w:rPr>
          <w:rFonts w:hint="eastAsia"/>
          <w:lang w:val="zh-CN"/>
        </w:rPr>
        <w:t>党的领导是创新社会治理，加强基层建设的根本保证。要始终把坚持党的领导作为社会治理的首要原则，充分发挥党总揽全局、协调各方的领导核心作用，充分发挥基层党组织的战斗堡垒作用和广大党员的先锋模范作用，不断提高党领导社会发展的能力和水平，提升政府社会治理和公共服务水平。</w:t>
      </w:r>
      <w:r>
        <w:rPr>
          <w:lang w:val="zh-CN"/>
        </w:rPr>
        <w:t xml:space="preserve"> </w:t>
      </w:r>
      <w:r>
        <w:rPr>
          <w:rFonts w:ascii="仿宋" w:hAnsi="仿宋"/>
          <w:color w:val="000000"/>
          <w:szCs w:val="32"/>
          <w:lang w:val="zh-CN"/>
        </w:rPr>
        <w:t xml:space="preserve"> </w:t>
      </w:r>
    </w:p>
    <w:p>
      <w:pPr>
        <w:ind w:firstLine="643"/>
        <w:rPr>
          <w:lang w:val="zh-CN"/>
        </w:rPr>
      </w:pPr>
      <w:r>
        <w:rPr>
          <w:rFonts w:hint="eastAsia" w:ascii="仿宋" w:hAnsi="仿宋"/>
          <w:b/>
          <w:bCs/>
          <w:color w:val="000000"/>
          <w:szCs w:val="32"/>
          <w:lang w:val="zh-CN"/>
        </w:rPr>
        <w:t>（二）坚持以人为本，服务为先。</w:t>
      </w:r>
      <w:r>
        <w:rPr>
          <w:rFonts w:hint="eastAsia"/>
          <w:lang w:val="zh-CN"/>
        </w:rPr>
        <w:t>始终把服务人民、增进人民福祉作为社会治理的根本出发点和落脚点。围绕促进人的全面发展，坚持社会治理和社会服务相结合，建立健全多层次社会公共服务体系，满足群众多样化服务需求。</w:t>
      </w:r>
    </w:p>
    <w:p>
      <w:pPr>
        <w:ind w:firstLine="643"/>
        <w:rPr>
          <w:lang w:val="zh-CN"/>
        </w:rPr>
      </w:pPr>
      <w:r>
        <w:rPr>
          <w:rFonts w:hint="eastAsia" w:ascii="仿宋" w:hAnsi="仿宋"/>
          <w:b/>
          <w:bCs/>
          <w:color w:val="000000"/>
          <w:szCs w:val="32"/>
          <w:lang w:val="zh-CN"/>
        </w:rPr>
        <w:t>（三）坚持依法治理，公开公正。</w:t>
      </w:r>
      <w:r>
        <w:rPr>
          <w:rFonts w:hint="eastAsia"/>
          <w:lang w:val="zh-CN"/>
        </w:rPr>
        <w:t>牢固树立依法治理理念</w:t>
      </w:r>
      <w:r>
        <w:rPr>
          <w:lang w:val="zh-CN"/>
        </w:rPr>
        <w:t>,</w:t>
      </w:r>
      <w:r>
        <w:rPr>
          <w:rFonts w:hint="eastAsia"/>
          <w:lang w:val="zh-CN"/>
        </w:rPr>
        <w:t>坚持用法治思维和法治方式化解社会矛盾，用法治保障社会治理体系和治理能力现代化顺利推进。坚持有法可依、有法必依、执法必严、违法必究，为维护社会公平正义提供法治保障。</w:t>
      </w:r>
    </w:p>
    <w:p>
      <w:pPr>
        <w:ind w:firstLine="643"/>
        <w:rPr>
          <w:lang w:val="zh-CN"/>
        </w:rPr>
      </w:pPr>
      <w:r>
        <w:rPr>
          <w:rFonts w:hint="eastAsia" w:ascii="仿宋" w:hAnsi="仿宋"/>
          <w:b/>
          <w:bCs/>
          <w:color w:val="000000"/>
          <w:szCs w:val="32"/>
          <w:lang w:val="zh-CN"/>
        </w:rPr>
        <w:t>（四）坚持与时俱进，改革创新。</w:t>
      </w:r>
      <w:r>
        <w:rPr>
          <w:rFonts w:hint="eastAsia"/>
          <w:lang w:val="zh-CN"/>
        </w:rPr>
        <w:t>始终把改革创新作为社会治理的动力，紧密联系大兴区实际，适应形势发展变化，勇于实践，敢于创新，积极营造有利于创新创业的政策环境和制度环境。</w:t>
      </w:r>
    </w:p>
    <w:p>
      <w:pPr>
        <w:pStyle w:val="3"/>
        <w:ind w:firstLine="643"/>
      </w:pPr>
      <w:bookmarkStart w:id="30" w:name="_Toc92171407"/>
      <w:bookmarkStart w:id="31" w:name="_Toc76637997"/>
      <w:r>
        <w:rPr>
          <w:rFonts w:hint="eastAsia"/>
        </w:rPr>
        <w:t>三、规划目标</w:t>
      </w:r>
      <w:bookmarkEnd w:id="30"/>
      <w:bookmarkEnd w:id="31"/>
    </w:p>
    <w:bookmarkEnd w:id="1"/>
    <w:p>
      <w:pPr>
        <w:ind w:firstLine="640"/>
      </w:pPr>
      <w:r>
        <w:rPr>
          <w:rFonts w:hint="eastAsia"/>
          <w:lang w:val="zh-CN"/>
        </w:rPr>
        <w:t>未来五年，大兴区社会治理事业要根据国家和北京市“十四五”时期经济社会发展基本思路和主要目标，解决突出问题，着力补足短板，努力构建与“四个中心”和“新国门·新大兴”相匹配的现代化社会治理格局，“党委领导、政府负责、民主协商、社会协同、公众参与、法治保障、科技支撑”的社会治理体系更加健全完善，建设“人人有责、人人尽责、人人享有”的社会治理共同体。</w:t>
      </w:r>
    </w:p>
    <w:p>
      <w:pPr>
        <w:ind w:firstLine="643"/>
        <w:rPr>
          <w:lang w:val="zh-CN"/>
        </w:rPr>
      </w:pPr>
      <w:r>
        <w:rPr>
          <w:rFonts w:hint="eastAsia" w:ascii="仿宋" w:hAnsi="仿宋"/>
          <w:b/>
          <w:bCs/>
          <w:color w:val="000000"/>
          <w:szCs w:val="32"/>
          <w:lang w:val="zh-CN"/>
        </w:rPr>
        <w:t>（一）党对社会治理的领导全面夯实。</w:t>
      </w:r>
      <w:r>
        <w:rPr>
          <w:rFonts w:hint="eastAsia"/>
          <w:lang w:val="zh-CN"/>
        </w:rPr>
        <w:t>党的领导贯穿社会治理领域各环节、各要素、各主体，中央、市委关于社会治理的要求得到全面落实，共建共治共享社会治理共同体基本形成。</w:t>
      </w:r>
    </w:p>
    <w:p>
      <w:pPr>
        <w:ind w:firstLine="643"/>
        <w:rPr>
          <w:lang w:val="zh-CN"/>
        </w:rPr>
      </w:pPr>
      <w:r>
        <w:rPr>
          <w:rFonts w:hint="eastAsia" w:ascii="仿宋" w:hAnsi="仿宋"/>
          <w:b/>
          <w:bCs/>
          <w:color w:val="000000"/>
          <w:szCs w:val="32"/>
        </w:rPr>
        <w:t>（二）社会治理主体更加均衡。</w:t>
      </w:r>
      <w:r>
        <w:rPr>
          <w:rFonts w:hint="eastAsia"/>
          <w:lang w:val="zh-CN"/>
        </w:rPr>
        <w:t>持续推动社会治理共同体建设，充分发挥政府、市场、社会在社会治理中的作用，形成多元协同治理体系。</w:t>
      </w:r>
    </w:p>
    <w:p>
      <w:pPr>
        <w:ind w:firstLine="643"/>
        <w:rPr>
          <w:lang w:val="zh-CN"/>
        </w:rPr>
      </w:pPr>
      <w:r>
        <w:rPr>
          <w:rFonts w:hint="eastAsia" w:ascii="仿宋" w:hAnsi="仿宋"/>
          <w:b/>
          <w:bCs/>
          <w:color w:val="000000"/>
          <w:szCs w:val="32"/>
        </w:rPr>
        <w:t>（三）社会治理理念持续创新。</w:t>
      </w:r>
      <w:r>
        <w:rPr>
          <w:rFonts w:hint="eastAsia"/>
          <w:lang w:val="zh-CN"/>
        </w:rPr>
        <w:t>顺应人民群众对美好生活的向往，聚焦人民期待的增长点，找准各方利益的结合点，加大改革创新力度，持续保障和改善民生，推进社会治理体制机制创新，市民生活多样化需求基本得到满足。</w:t>
      </w:r>
    </w:p>
    <w:p>
      <w:pPr>
        <w:ind w:firstLine="643"/>
        <w:rPr>
          <w:lang w:val="zh-CN"/>
        </w:rPr>
      </w:pPr>
      <w:r>
        <w:rPr>
          <w:rFonts w:hint="eastAsia" w:ascii="仿宋" w:hAnsi="仿宋"/>
          <w:b/>
          <w:bCs/>
          <w:color w:val="000000"/>
          <w:szCs w:val="32"/>
        </w:rPr>
        <w:t>（四）社会治理方式趋于立体。</w:t>
      </w:r>
      <w:r>
        <w:rPr>
          <w:rFonts w:hint="eastAsia"/>
          <w:lang w:val="zh-CN"/>
        </w:rPr>
        <w:t>坚持发挥法治对社会治理的规范作用和德治对社会治理的保障作用，全面提升社会治理法治化水平，把法律和道德的力量、法治和德治的功能紧密结合起来。</w:t>
      </w:r>
    </w:p>
    <w:p>
      <w:pPr>
        <w:ind w:firstLine="643"/>
        <w:rPr>
          <w:lang w:val="zh-CN"/>
        </w:rPr>
      </w:pPr>
      <w:r>
        <w:rPr>
          <w:rFonts w:hint="eastAsia" w:ascii="仿宋" w:hAnsi="仿宋"/>
          <w:b/>
          <w:bCs/>
          <w:color w:val="000000"/>
          <w:szCs w:val="32"/>
        </w:rPr>
        <w:t>（五）社会治理重心加快下移。</w:t>
      </w:r>
      <w:r>
        <w:rPr>
          <w:rFonts w:hint="eastAsia"/>
          <w:lang w:val="zh-CN"/>
        </w:rPr>
        <w:t>推动更多资源、服务、管理下沉到基层，建立资源下沉机制、需求回应机制、自治共治机制和智慧治理机制，完善群众参与基层社会治理的制度化渠道。</w:t>
      </w:r>
    </w:p>
    <w:p>
      <w:pPr>
        <w:ind w:firstLine="640"/>
        <w:rPr>
          <w:lang w:val="zh-CN"/>
        </w:rPr>
      </w:pPr>
      <w:r>
        <w:rPr>
          <w:rFonts w:hint="eastAsia" w:ascii="仿宋" w:hAnsi="仿宋"/>
          <w:color w:val="000000"/>
          <w:szCs w:val="32"/>
          <w:lang w:val="zh-CN"/>
        </w:rPr>
        <w:t>“</w:t>
      </w:r>
      <w:r>
        <w:rPr>
          <w:rFonts w:hint="eastAsia"/>
          <w:lang w:val="zh-CN"/>
        </w:rPr>
        <w:t>十四五”时期，大兴区社会治理更加规范而富有活力，保障措施更加科学而公平公正，设施网络更加健全而便捷可及，服务体系更加高效而亲民务实。</w:t>
      </w:r>
    </w:p>
    <w:p>
      <w:pPr>
        <w:ind w:firstLine="1506" w:firstLineChars="500"/>
        <w:rPr>
          <w:rFonts w:ascii="仿宋" w:hAnsi="仿宋"/>
          <w:b/>
          <w:bCs/>
          <w:color w:val="000000"/>
          <w:sz w:val="30"/>
          <w:szCs w:val="30"/>
          <w:lang w:val="zh-CN"/>
        </w:rPr>
      </w:pPr>
    </w:p>
    <w:p>
      <w:pPr>
        <w:ind w:firstLine="1506" w:firstLineChars="500"/>
        <w:rPr>
          <w:rFonts w:ascii="仿宋" w:hAnsi="仿宋"/>
          <w:b/>
          <w:bCs/>
          <w:color w:val="000000"/>
          <w:sz w:val="30"/>
          <w:szCs w:val="30"/>
          <w:lang w:val="zh-CN"/>
        </w:rPr>
      </w:pPr>
    </w:p>
    <w:p>
      <w:pPr>
        <w:ind w:firstLine="1506" w:firstLineChars="500"/>
        <w:rPr>
          <w:rFonts w:ascii="仿宋" w:hAnsi="仿宋"/>
          <w:b/>
          <w:bCs/>
          <w:color w:val="000000"/>
          <w:sz w:val="30"/>
          <w:szCs w:val="30"/>
          <w:lang w:val="zh-CN"/>
        </w:rPr>
      </w:pPr>
      <w:r>
        <w:rPr>
          <w:rFonts w:hint="eastAsia" w:ascii="仿宋" w:hAnsi="仿宋"/>
          <w:b/>
          <w:bCs/>
          <w:color w:val="000000"/>
          <w:sz w:val="30"/>
          <w:szCs w:val="30"/>
          <w:lang w:val="zh-CN"/>
        </w:rPr>
        <w:t>“十四五”时期大兴区社会治理主要指标</w:t>
      </w:r>
    </w:p>
    <w:tbl>
      <w:tblPr>
        <w:tblStyle w:val="17"/>
        <w:tblW w:w="91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92"/>
        <w:gridCol w:w="5245"/>
        <w:gridCol w:w="90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793"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类别</w:t>
            </w:r>
          </w:p>
        </w:tc>
        <w:tc>
          <w:tcPr>
            <w:tcW w:w="992"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序号</w:t>
            </w:r>
          </w:p>
        </w:tc>
        <w:tc>
          <w:tcPr>
            <w:tcW w:w="5245" w:type="dxa"/>
            <w:vAlign w:val="center"/>
          </w:tcPr>
          <w:p>
            <w:pPr>
              <w:ind w:firstLine="480"/>
              <w:jc w:val="center"/>
              <w:rPr>
                <w:rFonts w:ascii="仿宋" w:hAnsi="仿宋"/>
                <w:color w:val="000000"/>
                <w:sz w:val="24"/>
                <w:szCs w:val="24"/>
              </w:rPr>
            </w:pPr>
            <w:r>
              <w:rPr>
                <w:rFonts w:hint="eastAsia" w:ascii="仿宋" w:hAnsi="仿宋"/>
                <w:color w:val="000000"/>
                <w:sz w:val="24"/>
                <w:szCs w:val="24"/>
              </w:rPr>
              <w:t>具体指标</w:t>
            </w:r>
          </w:p>
        </w:tc>
        <w:tc>
          <w:tcPr>
            <w:tcW w:w="90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目标</w:t>
            </w:r>
          </w:p>
        </w:tc>
        <w:tc>
          <w:tcPr>
            <w:tcW w:w="1218" w:type="dxa"/>
            <w:vAlign w:val="center"/>
          </w:tcPr>
          <w:p>
            <w:pPr>
              <w:ind w:firstLine="170" w:firstLineChars="71"/>
              <w:jc w:val="center"/>
              <w:rPr>
                <w:rFonts w:ascii="仿宋" w:hAnsi="仿宋"/>
                <w:color w:val="000000"/>
                <w:sz w:val="24"/>
                <w:szCs w:val="24"/>
              </w:rPr>
            </w:pPr>
            <w:r>
              <w:rPr>
                <w:rFonts w:hint="eastAsia" w:ascii="仿宋" w:hAnsi="仿宋"/>
                <w:color w:val="00000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3" w:type="dxa"/>
            <w:vMerge w:val="restart"/>
            <w:vAlign w:val="center"/>
          </w:tcPr>
          <w:p>
            <w:pPr>
              <w:ind w:firstLine="0" w:firstLineChars="0"/>
              <w:jc w:val="center"/>
              <w:rPr>
                <w:rFonts w:ascii="仿宋" w:hAnsi="仿宋"/>
                <w:color w:val="000000"/>
                <w:sz w:val="24"/>
                <w:szCs w:val="24"/>
              </w:rPr>
            </w:pPr>
            <w:r>
              <w:rPr>
                <w:rFonts w:hint="eastAsia" w:ascii="仿宋" w:hAnsi="仿宋"/>
                <w:color w:val="000000"/>
                <w:sz w:val="24"/>
                <w:szCs w:val="24"/>
              </w:rPr>
              <w:t>党</w:t>
            </w:r>
          </w:p>
          <w:p>
            <w:pPr>
              <w:ind w:firstLine="0" w:firstLineChars="0"/>
              <w:jc w:val="center"/>
              <w:rPr>
                <w:rFonts w:ascii="仿宋" w:hAnsi="仿宋"/>
                <w:color w:val="000000"/>
                <w:sz w:val="24"/>
                <w:szCs w:val="24"/>
              </w:rPr>
            </w:pPr>
            <w:r>
              <w:rPr>
                <w:rFonts w:hint="eastAsia" w:ascii="仿宋" w:hAnsi="仿宋"/>
                <w:color w:val="000000"/>
                <w:sz w:val="24"/>
                <w:szCs w:val="24"/>
              </w:rPr>
              <w:t>建</w:t>
            </w:r>
          </w:p>
          <w:p>
            <w:pPr>
              <w:ind w:firstLine="0" w:firstLineChars="0"/>
              <w:jc w:val="center"/>
              <w:rPr>
                <w:rFonts w:ascii="仿宋" w:hAnsi="仿宋"/>
                <w:color w:val="000000"/>
                <w:sz w:val="24"/>
                <w:szCs w:val="24"/>
              </w:rPr>
            </w:pPr>
            <w:r>
              <w:rPr>
                <w:rFonts w:hint="eastAsia" w:ascii="仿宋" w:hAnsi="仿宋"/>
                <w:color w:val="000000"/>
                <w:sz w:val="24"/>
                <w:szCs w:val="24"/>
              </w:rPr>
              <w:t>引</w:t>
            </w:r>
          </w:p>
          <w:p>
            <w:pPr>
              <w:ind w:firstLine="0" w:firstLineChars="0"/>
              <w:jc w:val="center"/>
              <w:rPr>
                <w:rFonts w:ascii="仿宋" w:hAnsi="仿宋"/>
                <w:color w:val="000000"/>
                <w:sz w:val="24"/>
                <w:szCs w:val="24"/>
              </w:rPr>
            </w:pPr>
            <w:r>
              <w:rPr>
                <w:rFonts w:hint="eastAsia" w:ascii="仿宋" w:hAnsi="仿宋"/>
                <w:color w:val="000000"/>
                <w:sz w:val="24"/>
                <w:szCs w:val="24"/>
              </w:rPr>
              <w:t>领</w:t>
            </w: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街道（乡镇）、社区（村）建立党建协调委员会比例（</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规模以上非公有制经济组织党组织覆盖率（</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3</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社会组织党组织和党的工作覆盖率（</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4</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党组织和在职党员社区“双报到”率（</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restart"/>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社</w:t>
            </w:r>
          </w:p>
          <w:p>
            <w:pPr>
              <w:ind w:firstLine="0" w:firstLineChars="0"/>
              <w:jc w:val="center"/>
              <w:rPr>
                <w:rFonts w:ascii="仿宋" w:hAnsi="仿宋"/>
                <w:color w:val="000000"/>
                <w:sz w:val="24"/>
                <w:szCs w:val="24"/>
              </w:rPr>
            </w:pPr>
            <w:r>
              <w:rPr>
                <w:rFonts w:hint="eastAsia" w:ascii="仿宋" w:hAnsi="仿宋"/>
                <w:color w:val="000000"/>
                <w:sz w:val="24"/>
                <w:szCs w:val="24"/>
              </w:rPr>
              <w:t>会</w:t>
            </w:r>
          </w:p>
          <w:p>
            <w:pPr>
              <w:ind w:firstLine="0" w:firstLineChars="0"/>
              <w:jc w:val="center"/>
              <w:rPr>
                <w:rFonts w:ascii="仿宋" w:hAnsi="仿宋"/>
                <w:color w:val="000000"/>
                <w:sz w:val="24"/>
                <w:szCs w:val="24"/>
              </w:rPr>
            </w:pPr>
            <w:r>
              <w:rPr>
                <w:rFonts w:hint="eastAsia" w:ascii="仿宋" w:hAnsi="仿宋"/>
                <w:color w:val="000000"/>
                <w:sz w:val="24"/>
                <w:szCs w:val="24"/>
              </w:rPr>
              <w:t>服</w:t>
            </w:r>
          </w:p>
          <w:p>
            <w:pPr>
              <w:ind w:firstLine="0" w:firstLineChars="0"/>
              <w:jc w:val="center"/>
              <w:rPr>
                <w:rFonts w:ascii="仿宋" w:hAnsi="仿宋"/>
                <w:color w:val="000000"/>
                <w:sz w:val="24"/>
                <w:szCs w:val="24"/>
              </w:rPr>
            </w:pPr>
            <w:r>
              <w:rPr>
                <w:rFonts w:hint="eastAsia" w:ascii="仿宋" w:hAnsi="仿宋"/>
                <w:color w:val="000000"/>
                <w:sz w:val="24"/>
                <w:szCs w:val="24"/>
              </w:rPr>
              <w:t>务</w:t>
            </w: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5</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“七有”“五性”民生保障指数</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120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6</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人均公共文化服务设施建筑面积（平方米）</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0.39</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7</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物业服务覆盖率（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s="Arial"/>
                <w:color w:val="000000"/>
                <w:sz w:val="24"/>
                <w:szCs w:val="24"/>
                <w:shd w:val="clear" w:color="auto" w:fill="FFFFFF"/>
              </w:rPr>
              <w:t>90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8</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建成社会心理服务中心</w:t>
            </w:r>
            <w:r>
              <w:rPr>
                <w:rFonts w:ascii="仿宋" w:hAnsi="仿宋"/>
                <w:color w:val="000000"/>
                <w:sz w:val="24"/>
                <w:szCs w:val="24"/>
              </w:rPr>
              <w:t>/</w:t>
            </w:r>
            <w:r>
              <w:rPr>
                <w:rFonts w:hint="eastAsia" w:ascii="仿宋" w:hAnsi="仿宋"/>
                <w:color w:val="000000"/>
                <w:sz w:val="24"/>
                <w:szCs w:val="24"/>
              </w:rPr>
              <w:t>站数量（个）</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olor w:val="000000"/>
                <w:sz w:val="24"/>
                <w:szCs w:val="24"/>
              </w:rPr>
              <w:t>22</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9</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社会工作专业服务机构（家）</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olor w:val="000000"/>
                <w:sz w:val="24"/>
                <w:szCs w:val="24"/>
              </w:rPr>
              <w:t>160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10</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街道（乡镇）社会工作服务站覆盖率（</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11</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社会工作专业人才总量（万人）</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s="Arial"/>
                <w:color w:val="000000"/>
                <w:sz w:val="24"/>
                <w:szCs w:val="24"/>
                <w:shd w:val="clear" w:color="auto" w:fill="FFFFFF"/>
              </w:rPr>
              <w:t>0.4</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12</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城乡社区办公和服务用房面积达标率（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13</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院前医疗急救服务平均反应时间（分钟）</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&lt;12</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14</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市民服务热线居民诉求解决率（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85</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restart"/>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社</w:t>
            </w:r>
          </w:p>
          <w:p>
            <w:pPr>
              <w:ind w:firstLine="0" w:firstLineChars="0"/>
              <w:jc w:val="center"/>
              <w:rPr>
                <w:rFonts w:ascii="仿宋" w:hAnsi="仿宋"/>
                <w:color w:val="000000"/>
                <w:sz w:val="24"/>
                <w:szCs w:val="24"/>
              </w:rPr>
            </w:pPr>
            <w:r>
              <w:rPr>
                <w:rFonts w:hint="eastAsia" w:ascii="仿宋" w:hAnsi="仿宋"/>
                <w:color w:val="000000"/>
                <w:sz w:val="24"/>
                <w:szCs w:val="24"/>
              </w:rPr>
              <w:t>会</w:t>
            </w:r>
          </w:p>
          <w:p>
            <w:pPr>
              <w:ind w:firstLine="0" w:firstLineChars="0"/>
              <w:jc w:val="center"/>
              <w:rPr>
                <w:rFonts w:ascii="仿宋" w:hAnsi="仿宋"/>
                <w:color w:val="000000"/>
                <w:sz w:val="24"/>
                <w:szCs w:val="24"/>
              </w:rPr>
            </w:pPr>
            <w:r>
              <w:rPr>
                <w:rFonts w:hint="eastAsia" w:ascii="仿宋" w:hAnsi="仿宋"/>
                <w:color w:val="000000"/>
                <w:sz w:val="24"/>
                <w:szCs w:val="24"/>
              </w:rPr>
              <w:t>管</w:t>
            </w:r>
          </w:p>
          <w:p>
            <w:pPr>
              <w:ind w:firstLine="0" w:firstLineChars="0"/>
              <w:jc w:val="center"/>
              <w:rPr>
                <w:rFonts w:ascii="仿宋" w:hAnsi="仿宋"/>
                <w:color w:val="000000"/>
                <w:sz w:val="24"/>
                <w:szCs w:val="24"/>
              </w:rPr>
            </w:pPr>
            <w:r>
              <w:rPr>
                <w:rFonts w:hint="eastAsia" w:ascii="仿宋" w:hAnsi="仿宋"/>
                <w:color w:val="000000"/>
                <w:sz w:val="24"/>
                <w:szCs w:val="24"/>
              </w:rPr>
              <w:t>理</w:t>
            </w: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15</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群众安全感指数（</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90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16</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食品安全抽检合格率（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&gt;98.5</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17</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信访事项按期答复率（</w:t>
            </w:r>
            <w:r>
              <w:rPr>
                <w:rFonts w:ascii="仿宋" w:hAnsi="仿宋"/>
                <w:color w:val="000000"/>
                <w:sz w:val="24"/>
                <w:szCs w:val="24"/>
              </w:rPr>
              <w:t>%</w:t>
            </w:r>
            <w:r>
              <w:rPr>
                <w:rFonts w:hint="eastAsia"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olor w:val="000000"/>
                <w:sz w:val="24"/>
                <w:szCs w:val="24"/>
              </w:rPr>
              <w:t>95</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18</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城市服务管理网格化体系覆盖率（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100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19</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平安街道（乡镇）和平安社区（村）创建率（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80/90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20</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社区居民委员会直接选举和户代表选举比例（</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80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21</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每个社区的社区居委会人员本社区化率（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50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restart"/>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社</w:t>
            </w:r>
          </w:p>
          <w:p>
            <w:pPr>
              <w:ind w:firstLine="0" w:firstLineChars="0"/>
              <w:jc w:val="center"/>
              <w:rPr>
                <w:rFonts w:ascii="仿宋" w:hAnsi="仿宋"/>
                <w:color w:val="000000"/>
                <w:sz w:val="24"/>
                <w:szCs w:val="24"/>
              </w:rPr>
            </w:pPr>
            <w:r>
              <w:rPr>
                <w:rFonts w:hint="eastAsia" w:ascii="仿宋" w:hAnsi="仿宋"/>
                <w:color w:val="000000"/>
                <w:sz w:val="24"/>
                <w:szCs w:val="24"/>
              </w:rPr>
              <w:t>会</w:t>
            </w:r>
          </w:p>
          <w:p>
            <w:pPr>
              <w:ind w:firstLine="0" w:firstLineChars="0"/>
              <w:jc w:val="center"/>
              <w:rPr>
                <w:rFonts w:ascii="仿宋" w:hAnsi="仿宋"/>
                <w:color w:val="000000"/>
                <w:sz w:val="24"/>
                <w:szCs w:val="24"/>
              </w:rPr>
            </w:pPr>
            <w:r>
              <w:rPr>
                <w:rFonts w:hint="eastAsia" w:ascii="仿宋" w:hAnsi="仿宋"/>
                <w:color w:val="000000"/>
                <w:sz w:val="24"/>
                <w:szCs w:val="24"/>
              </w:rPr>
              <w:t>动</w:t>
            </w:r>
          </w:p>
          <w:p>
            <w:pPr>
              <w:ind w:firstLine="0" w:firstLineChars="0"/>
              <w:jc w:val="center"/>
              <w:rPr>
                <w:rFonts w:ascii="仿宋" w:hAnsi="仿宋"/>
                <w:color w:val="000000"/>
                <w:sz w:val="24"/>
                <w:szCs w:val="24"/>
              </w:rPr>
            </w:pPr>
            <w:r>
              <w:rPr>
                <w:rFonts w:hint="eastAsia" w:ascii="仿宋" w:hAnsi="仿宋"/>
                <w:color w:val="000000"/>
                <w:sz w:val="24"/>
                <w:szCs w:val="24"/>
              </w:rPr>
              <w:t>员</w:t>
            </w: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22</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实名注册志愿者占常住人口比例（</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ascii="仿宋" w:hAnsi="仿宋"/>
                <w:color w:val="000000"/>
                <w:sz w:val="24"/>
                <w:szCs w:val="24"/>
              </w:rPr>
              <w:t>21</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93" w:type="dxa"/>
            <w:vMerge w:val="continue"/>
            <w:vAlign w:val="center"/>
          </w:tcPr>
          <w:p>
            <w:pPr>
              <w:ind w:firstLine="0" w:firstLineChars="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23</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全区社区社会组织数量（家）</w:t>
            </w:r>
          </w:p>
        </w:tc>
        <w:tc>
          <w:tcPr>
            <w:tcW w:w="908" w:type="dxa"/>
            <w:vAlign w:val="center"/>
          </w:tcPr>
          <w:p>
            <w:pPr>
              <w:ind w:firstLine="0" w:firstLineChars="0"/>
              <w:jc w:val="center"/>
              <w:rPr>
                <w:rFonts w:ascii="仿宋" w:hAnsi="仿宋"/>
                <w:color w:val="000000"/>
                <w:sz w:val="24"/>
                <w:szCs w:val="24"/>
              </w:rPr>
            </w:pPr>
            <w:r>
              <w:rPr>
                <w:rFonts w:ascii="仿宋" w:hAnsi="仿宋" w:cs="Arial"/>
                <w:color w:val="000000"/>
                <w:sz w:val="24"/>
                <w:szCs w:val="24"/>
                <w:shd w:val="clear" w:color="auto" w:fill="FFFFFF"/>
              </w:rPr>
              <w:t>6000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93" w:type="dxa"/>
            <w:vMerge w:val="continue"/>
            <w:vAlign w:val="center"/>
          </w:tcPr>
          <w:p>
            <w:pPr>
              <w:ind w:firstLine="480"/>
              <w:jc w:val="center"/>
              <w:rPr>
                <w:rFonts w:ascii="仿宋" w:hAnsi="仿宋"/>
                <w:color w:val="000000"/>
                <w:sz w:val="24"/>
                <w:szCs w:val="24"/>
              </w:rPr>
            </w:pPr>
          </w:p>
        </w:tc>
        <w:tc>
          <w:tcPr>
            <w:tcW w:w="992" w:type="dxa"/>
            <w:vAlign w:val="center"/>
          </w:tcPr>
          <w:p>
            <w:pPr>
              <w:ind w:firstLine="0" w:firstLineChars="0"/>
              <w:jc w:val="center"/>
              <w:rPr>
                <w:rFonts w:ascii="仿宋" w:hAnsi="仿宋"/>
                <w:color w:val="000000"/>
                <w:sz w:val="24"/>
                <w:szCs w:val="24"/>
              </w:rPr>
            </w:pPr>
            <w:r>
              <w:rPr>
                <w:rFonts w:ascii="仿宋" w:hAnsi="仿宋"/>
                <w:color w:val="000000"/>
                <w:sz w:val="24"/>
                <w:szCs w:val="24"/>
              </w:rPr>
              <w:t>24</w:t>
            </w:r>
          </w:p>
        </w:tc>
        <w:tc>
          <w:tcPr>
            <w:tcW w:w="5245" w:type="dxa"/>
            <w:vAlign w:val="center"/>
          </w:tcPr>
          <w:p>
            <w:pPr>
              <w:ind w:firstLine="0" w:firstLineChars="0"/>
              <w:jc w:val="left"/>
              <w:rPr>
                <w:rFonts w:ascii="仿宋" w:hAnsi="仿宋"/>
                <w:color w:val="000000"/>
                <w:sz w:val="24"/>
                <w:szCs w:val="24"/>
              </w:rPr>
            </w:pPr>
            <w:r>
              <w:rPr>
                <w:rFonts w:hint="eastAsia" w:ascii="仿宋" w:hAnsi="仿宋"/>
                <w:color w:val="000000"/>
                <w:sz w:val="24"/>
                <w:szCs w:val="24"/>
              </w:rPr>
              <w:t>业主委员会（物业管理委员会）组建率（</w:t>
            </w:r>
            <w:r>
              <w:rPr>
                <w:rFonts w:ascii="仿宋" w:hAnsi="仿宋"/>
                <w:color w:val="000000"/>
                <w:sz w:val="24"/>
                <w:szCs w:val="24"/>
              </w:rPr>
              <w:t>%）</w:t>
            </w:r>
          </w:p>
        </w:tc>
        <w:tc>
          <w:tcPr>
            <w:tcW w:w="908" w:type="dxa"/>
            <w:vAlign w:val="center"/>
          </w:tcPr>
          <w:p>
            <w:pPr>
              <w:ind w:firstLine="0" w:firstLineChars="0"/>
              <w:jc w:val="center"/>
              <w:rPr>
                <w:rFonts w:ascii="仿宋" w:hAnsi="仿宋"/>
                <w:color w:val="000000"/>
                <w:sz w:val="24"/>
                <w:szCs w:val="24"/>
              </w:rPr>
            </w:pPr>
            <w:r>
              <w:rPr>
                <w:rFonts w:hint="eastAsia" w:ascii="仿宋" w:hAnsi="仿宋" w:cs="Arial"/>
                <w:color w:val="000000"/>
                <w:sz w:val="24"/>
                <w:szCs w:val="24"/>
                <w:shd w:val="clear" w:color="auto" w:fill="FFFFFF"/>
              </w:rPr>
              <w:t>≥</w:t>
            </w:r>
            <w:r>
              <w:rPr>
                <w:rFonts w:ascii="仿宋" w:hAnsi="仿宋"/>
                <w:color w:val="000000"/>
                <w:sz w:val="24"/>
                <w:szCs w:val="24"/>
              </w:rPr>
              <w:t>90</w:t>
            </w:r>
          </w:p>
        </w:tc>
        <w:tc>
          <w:tcPr>
            <w:tcW w:w="1218" w:type="dxa"/>
            <w:vAlign w:val="center"/>
          </w:tcPr>
          <w:p>
            <w:pPr>
              <w:ind w:firstLine="0" w:firstLineChars="0"/>
              <w:jc w:val="center"/>
              <w:rPr>
                <w:rFonts w:ascii="仿宋" w:hAnsi="仿宋"/>
                <w:color w:val="000000"/>
                <w:sz w:val="24"/>
                <w:szCs w:val="24"/>
              </w:rPr>
            </w:pPr>
            <w:r>
              <w:rPr>
                <w:rFonts w:hint="eastAsia" w:ascii="仿宋" w:hAnsi="仿宋"/>
                <w:color w:val="000000"/>
                <w:sz w:val="24"/>
                <w:szCs w:val="24"/>
              </w:rPr>
              <w:t>约束性</w:t>
            </w:r>
          </w:p>
        </w:tc>
      </w:tr>
    </w:tbl>
    <w:p>
      <w:pPr>
        <w:pStyle w:val="15"/>
        <w:rPr>
          <w:sz w:val="36"/>
          <w:szCs w:val="36"/>
        </w:rPr>
      </w:pPr>
      <w:bookmarkStart w:id="32" w:name="_Toc92171408"/>
      <w:bookmarkStart w:id="33" w:name="_Toc76637998"/>
      <w:r>
        <w:rPr>
          <w:rFonts w:hint="eastAsia"/>
          <w:sz w:val="36"/>
          <w:szCs w:val="36"/>
        </w:rPr>
        <w:t>第三章“十四五”时期主要任务</w:t>
      </w:r>
      <w:bookmarkEnd w:id="32"/>
      <w:bookmarkEnd w:id="33"/>
    </w:p>
    <w:p>
      <w:pPr>
        <w:pStyle w:val="3"/>
        <w:ind w:firstLine="643"/>
      </w:pPr>
      <w:bookmarkStart w:id="34" w:name="_Toc92171409"/>
      <w:bookmarkStart w:id="35" w:name="_Toc76637999"/>
      <w:r>
        <w:rPr>
          <w:rFonts w:hint="eastAsia"/>
        </w:rPr>
        <w:t>一、完善共建共治共享的社会治理体系</w:t>
      </w:r>
      <w:bookmarkEnd w:id="34"/>
      <w:bookmarkEnd w:id="35"/>
    </w:p>
    <w:p>
      <w:pPr>
        <w:ind w:firstLine="640"/>
        <w:rPr>
          <w:lang w:val="zh-CN"/>
        </w:rPr>
      </w:pPr>
      <w:r>
        <w:rPr>
          <w:lang w:val="zh-CN"/>
        </w:rPr>
        <w:t>“</w:t>
      </w:r>
      <w:r>
        <w:rPr>
          <w:rFonts w:hint="eastAsia"/>
          <w:lang w:val="zh-CN"/>
        </w:rPr>
        <w:t>十四五”时期，大兴区社会治理将全面加强党的领导，深化体制机制改革，畅通参与渠道，完善治理平台，形成“党委领导、政府负责、民主协商、社会协同、公众参与、法治保障、科技支撑”的社会治理体系，构建共建共治共享的社会治理新格局，不断增进民生福祉。</w:t>
      </w:r>
    </w:p>
    <w:p>
      <w:pPr>
        <w:pStyle w:val="4"/>
        <w:ind w:firstLine="643"/>
        <w:rPr>
          <w:sz w:val="32"/>
          <w:lang w:val="zh-CN"/>
        </w:rPr>
      </w:pPr>
      <w:bookmarkStart w:id="36" w:name="_Toc76638000"/>
      <w:bookmarkStart w:id="37" w:name="_Toc92171410"/>
      <w:r>
        <w:rPr>
          <w:rFonts w:hint="eastAsia"/>
          <w:sz w:val="32"/>
          <w:lang w:val="zh-CN"/>
        </w:rPr>
        <w:t>（一）完善党建引领社会治理</w:t>
      </w:r>
      <w:bookmarkEnd w:id="36"/>
      <w:r>
        <w:rPr>
          <w:rFonts w:hint="eastAsia"/>
          <w:sz w:val="32"/>
          <w:lang w:val="zh-CN"/>
        </w:rPr>
        <w:t>机制</w:t>
      </w:r>
      <w:bookmarkEnd w:id="37"/>
    </w:p>
    <w:p>
      <w:pPr>
        <w:ind w:firstLine="643"/>
        <w:rPr>
          <w:lang w:val="zh-CN"/>
        </w:rPr>
      </w:pPr>
      <w:r>
        <w:rPr>
          <w:rFonts w:hint="eastAsia" w:ascii="仿宋" w:hAnsi="仿宋"/>
          <w:b/>
          <w:bCs/>
          <w:color w:val="000000"/>
          <w:szCs w:val="32"/>
        </w:rPr>
        <w:t>加强党建引领社会治理顶层设计。</w:t>
      </w:r>
      <w:r>
        <w:rPr>
          <w:rFonts w:hint="eastAsia"/>
          <w:lang w:val="zh-CN"/>
        </w:rPr>
        <w:t>把区域社会治理纳入区委重要议事日程，把社会治理纳入各级领导班子的考核内容，依托三级组织体系</w:t>
      </w:r>
      <w:r>
        <w:rPr>
          <w:lang w:val="zh-CN"/>
        </w:rPr>
        <w:t>、</w:t>
      </w:r>
      <w:r>
        <w:rPr>
          <w:rFonts w:hint="eastAsia"/>
          <w:lang w:val="zh-CN"/>
        </w:rPr>
        <w:t>责任体系</w:t>
      </w:r>
      <w:r>
        <w:rPr>
          <w:lang w:val="zh-CN"/>
        </w:rPr>
        <w:t>、</w:t>
      </w:r>
      <w:r>
        <w:rPr>
          <w:rFonts w:hint="eastAsia"/>
          <w:lang w:val="zh-CN"/>
        </w:rPr>
        <w:t>制度体系</w:t>
      </w:r>
      <w:r>
        <w:rPr>
          <w:lang w:val="zh-CN"/>
        </w:rPr>
        <w:t>，</w:t>
      </w:r>
      <w:r>
        <w:rPr>
          <w:rFonts w:hint="eastAsia"/>
          <w:lang w:val="zh-CN"/>
        </w:rPr>
        <w:t>将党建工作系统贯通联动起来。</w:t>
      </w:r>
    </w:p>
    <w:p>
      <w:pPr>
        <w:ind w:firstLine="643"/>
        <w:rPr>
          <w:lang w:val="zh-CN"/>
        </w:rPr>
      </w:pPr>
      <w:r>
        <w:rPr>
          <w:rFonts w:hint="eastAsia" w:ascii="仿宋" w:hAnsi="仿宋"/>
          <w:b/>
          <w:bCs/>
          <w:color w:val="000000"/>
          <w:szCs w:val="32"/>
        </w:rPr>
        <w:t>深化党建引领“吹哨报到”。</w:t>
      </w:r>
      <w:r>
        <w:rPr>
          <w:rFonts w:hint="eastAsia"/>
          <w:lang w:val="zh-CN"/>
        </w:rPr>
        <w:t>发挥镇（街）党（工）委在基层社会治理中的领导作用，不断提高抓党建、抓服务、抓管理的水平，激活党委政府联系群众、服务群众的“神经末梢”。</w:t>
      </w:r>
    </w:p>
    <w:p>
      <w:pPr>
        <w:ind w:firstLine="643"/>
      </w:pPr>
      <w:r>
        <w:rPr>
          <w:rFonts w:hint="eastAsia" w:ascii="仿宋" w:hAnsi="仿宋"/>
          <w:b/>
          <w:bCs/>
          <w:color w:val="000000"/>
          <w:szCs w:val="32"/>
        </w:rPr>
        <w:t>完善区域化党建工作格局。</w:t>
      </w:r>
      <w:r>
        <w:rPr>
          <w:rFonts w:hint="eastAsia"/>
        </w:rPr>
        <w:t>健全区、镇街、社区三级党建工作协调委员会，落实需求、资源、项目“三个清单”制度，形成党委统一领导、驻区单位多方参与的领导体系和体制机制。</w:t>
      </w:r>
    </w:p>
    <w:p>
      <w:pPr>
        <w:ind w:firstLine="643"/>
      </w:pPr>
      <w:r>
        <w:rPr>
          <w:rFonts w:hint="eastAsia" w:ascii="仿宋" w:hAnsi="仿宋"/>
          <w:b/>
          <w:bCs/>
          <w:color w:val="000000"/>
          <w:szCs w:val="32"/>
        </w:rPr>
        <w:t>健全社区党建工作体系。</w:t>
      </w:r>
      <w:r>
        <w:rPr>
          <w:rFonts w:hint="eastAsia"/>
        </w:rPr>
        <w:t>完善社区党委（总支）、社区党支部、楼门（院）党支部（小组）衔接配套的党建工作体系，扩大党的组织和工作双重覆盖，形成社区党组织领导下的多方议事机制。</w:t>
      </w:r>
    </w:p>
    <w:p>
      <w:pPr>
        <w:ind w:firstLine="643"/>
        <w:rPr>
          <w:rFonts w:ascii="仿宋" w:hAnsi="仿宋"/>
          <w:color w:val="000000"/>
          <w:szCs w:val="32"/>
        </w:rPr>
      </w:pPr>
      <w:r>
        <w:rPr>
          <w:rFonts w:hint="eastAsia" w:ascii="仿宋" w:hAnsi="仿宋"/>
          <w:b/>
          <w:bCs/>
          <w:color w:val="000000"/>
          <w:szCs w:val="32"/>
        </w:rPr>
        <w:t>加快社会组织党建覆盖。</w:t>
      </w:r>
      <w:r>
        <w:rPr>
          <w:rFonts w:hint="eastAsia"/>
        </w:rPr>
        <w:t>以扩大党组织覆盖面为着力点，通过创新实施党建“双覆盖”方式，增强党组织的凝聚力和影响力。“十四五”期间实现社会组织党组织和党的工作全覆盖，社会组织党组织从有形覆盖向有效覆盖转变。</w:t>
      </w:r>
    </w:p>
    <w:p>
      <w:pPr>
        <w:ind w:firstLine="643"/>
        <w:rPr>
          <w:rFonts w:ascii="仿宋" w:hAnsi="仿宋"/>
          <w:color w:val="000000"/>
          <w:szCs w:val="32"/>
        </w:rPr>
      </w:pPr>
      <w:r>
        <w:rPr>
          <w:rFonts w:hint="eastAsia" w:ascii="仿宋" w:hAnsi="仿宋"/>
          <w:b/>
          <w:bCs/>
          <w:color w:val="000000"/>
          <w:szCs w:val="32"/>
        </w:rPr>
        <w:t>构建“两新”领域党建工作格局</w:t>
      </w:r>
      <w:r>
        <w:rPr>
          <w:rFonts w:hint="eastAsia" w:ascii="仿宋" w:hAnsi="仿宋"/>
          <w:color w:val="000000"/>
          <w:szCs w:val="32"/>
        </w:rPr>
        <w:t>。坚持组织引领和服务引领并重，提高“两新”组织党建工作质量，提升“两新”组织党建工作能力和水平，形成平台共建、信息共享、党建共管的党建工作格局。</w:t>
      </w:r>
    </w:p>
    <w:p>
      <w:pPr>
        <w:pStyle w:val="4"/>
        <w:ind w:firstLine="643"/>
        <w:rPr>
          <w:sz w:val="32"/>
        </w:rPr>
      </w:pPr>
      <w:bookmarkStart w:id="38" w:name="_Toc76638001"/>
      <w:bookmarkStart w:id="39" w:name="_Toc92171411"/>
      <w:r>
        <w:rPr>
          <w:rFonts w:hint="eastAsia"/>
          <w:sz w:val="32"/>
        </w:rPr>
        <w:t>（二）健全社会治理体制机制</w:t>
      </w:r>
      <w:bookmarkEnd w:id="38"/>
      <w:bookmarkEnd w:id="39"/>
    </w:p>
    <w:p>
      <w:pPr>
        <w:ind w:firstLine="643"/>
      </w:pPr>
      <w:r>
        <w:rPr>
          <w:rFonts w:hint="eastAsia"/>
          <w:b/>
          <w:bCs/>
        </w:rPr>
        <w:t>明确区级社会建设工作机构职能。</w:t>
      </w:r>
      <w:r>
        <w:rPr>
          <w:rFonts w:hint="eastAsia"/>
        </w:rPr>
        <w:t>健全区、镇（街）、村（社区）上下贯通的社会治理工作体系，充分发挥区社会建设工作领导小组作用，强化顶层设计、综合协调、督察评价职能，加强对事关全局性、综合性、关键性重大问题的研究部署。完善领导小组办公室日常运行机制、协调机制和监督机制，加强对成员单位的联系指导。</w:t>
      </w:r>
    </w:p>
    <w:p>
      <w:pPr>
        <w:ind w:firstLine="643"/>
      </w:pPr>
      <w:r>
        <w:rPr>
          <w:rFonts w:hint="eastAsia"/>
          <w:b/>
          <w:bCs/>
        </w:rPr>
        <w:t>加强区委全面深化改革委员会对社会体制改革工作的领导、指导。</w:t>
      </w:r>
      <w:r>
        <w:rPr>
          <w:rFonts w:hint="eastAsia"/>
        </w:rPr>
        <w:t>加强对社会建设和社会治理领域改革的制度性安排，围绕公共服务综合改革、社会组织培育扶持和综合监管、基层治理创新等改革重点，持续深化改革。创新基层治理模式，鼓励小切口、大成效的微改革、微创新，形成更多可复制可推广的制度创新和实践创新，打造多元共治的大兴典范。</w:t>
      </w:r>
    </w:p>
    <w:p>
      <w:pPr>
        <w:pStyle w:val="4"/>
        <w:ind w:firstLine="643"/>
        <w:rPr>
          <w:sz w:val="32"/>
        </w:rPr>
      </w:pPr>
      <w:bookmarkStart w:id="40" w:name="_Toc76638002"/>
      <w:bookmarkStart w:id="41" w:name="_Toc92171412"/>
      <w:r>
        <w:rPr>
          <w:rFonts w:hint="eastAsia"/>
          <w:sz w:val="32"/>
        </w:rPr>
        <w:t>（三）明确社会治理重点</w:t>
      </w:r>
      <w:bookmarkEnd w:id="40"/>
      <w:r>
        <w:rPr>
          <w:rFonts w:hint="eastAsia"/>
          <w:sz w:val="32"/>
        </w:rPr>
        <w:t>难点</w:t>
      </w:r>
      <w:bookmarkEnd w:id="41"/>
    </w:p>
    <w:p>
      <w:pPr>
        <w:ind w:firstLine="643"/>
      </w:pPr>
      <w:r>
        <w:rPr>
          <w:rFonts w:hint="eastAsia"/>
          <w:b/>
          <w:bCs/>
        </w:rPr>
        <w:t>全面实施社会建设领域“大兴社区复兴计划”</w:t>
      </w:r>
      <w:r>
        <w:rPr>
          <w:rFonts w:hint="eastAsia"/>
        </w:rPr>
        <w:t>。按照“社区强基、社区治理、社区复兴”的行动路径，制定实施“社区复兴”三年行动方案，围绕党的建设、街区更新、社会动员、银发产业、精细管理等方面重点发力，坚持需求导向、立足社区实际，切实解决好群众关心的热点、难点问题，通过“社区复兴”活化社区存量资源，提升社区环境、修复社区治理结构、复兴社区邻里关系，不断夯实社区治理基础，完善基层治理体系。</w:t>
      </w:r>
    </w:p>
    <w:p>
      <w:pPr>
        <w:ind w:firstLine="643"/>
      </w:pPr>
      <w:r>
        <w:rPr>
          <w:rFonts w:hint="eastAsia"/>
          <w:b/>
          <w:bCs/>
        </w:rPr>
        <w:t>区级层面</w:t>
      </w:r>
      <w:r>
        <w:rPr>
          <w:rFonts w:hint="eastAsia"/>
        </w:rPr>
        <w:t>以区域社会治理现代化为抓手，重点做好政策集成和统筹协调，主动破解社会矛盾外溢难题，主动应对治安问题复杂多变的挑战，主动补齐优质公共服务供给不足短板，研究解决区域社会治理的重点难点问题。</w:t>
      </w:r>
    </w:p>
    <w:p>
      <w:pPr>
        <w:ind w:firstLine="643"/>
      </w:pPr>
      <w:r>
        <w:rPr>
          <w:rFonts w:hint="eastAsia"/>
          <w:b/>
          <w:bCs/>
        </w:rPr>
        <w:t>街道层面</w:t>
      </w:r>
      <w:r>
        <w:rPr>
          <w:rFonts w:hint="eastAsia"/>
        </w:rPr>
        <w:t>作为社会治理主战场，主要围绕群众需求，以赋权、下沉、增效为重点，着力打通为群众服务的“最后一公里”，做好社会服务、社会管理、社会动员具体工作，切实发挥在社会治理中的基础作用。深化街道管理体制改革，完善基层政权体系，推动基层治理重心下移，发挥镇（街）在城市治理中的基础作用，社会管理和公共服务职能。推进街道审批服务改革，整合审批服务事项，优化工作流程。整合基层管理力量，探索实施街区制管理模式。</w:t>
      </w:r>
    </w:p>
    <w:p>
      <w:pPr>
        <w:ind w:firstLine="643"/>
      </w:pPr>
      <w:r>
        <w:rPr>
          <w:rFonts w:hint="eastAsia"/>
          <w:b/>
          <w:bCs/>
        </w:rPr>
        <w:t>社区层面</w:t>
      </w:r>
      <w:r>
        <w:rPr>
          <w:rFonts w:hint="eastAsia"/>
        </w:rPr>
        <w:t>以需求为导向，健全城乡社区治理体系，提升社区服务能力。坚持品质为先、重老重幼、全时导向，推进以人为本的全龄友好型社区建设。完善“拉家常”议事协商机制，推广“物业超市”社区服务平台，用好“社区联播”宣传动员阵地，助推基层治理改革。推进社区服务站改革，调整人员配置，优化服务方式，推行“综合窗口”“全能社工”模式和全程代办服务机制。</w:t>
      </w:r>
    </w:p>
    <w:p>
      <w:pPr>
        <w:pStyle w:val="4"/>
        <w:ind w:firstLine="643"/>
        <w:rPr>
          <w:sz w:val="32"/>
        </w:rPr>
      </w:pPr>
      <w:bookmarkStart w:id="42" w:name="_Toc76638004"/>
      <w:bookmarkStart w:id="43" w:name="_Toc92171413"/>
      <w:r>
        <w:rPr>
          <w:rFonts w:hint="eastAsia"/>
          <w:sz w:val="32"/>
        </w:rPr>
        <w:t>（四）完善多元主体协同参与机制</w:t>
      </w:r>
      <w:bookmarkEnd w:id="42"/>
      <w:bookmarkEnd w:id="43"/>
    </w:p>
    <w:p>
      <w:pPr>
        <w:ind w:firstLine="640"/>
      </w:pPr>
      <w:r>
        <w:rPr>
          <w:rFonts w:hint="eastAsia"/>
        </w:rPr>
        <w:t>加快推进社会动员机制现代化，稳步实现社会动员主体的多元化，整合基层社会动员力量，提高动员能力，促进多元主体健康发展。制定并完善大兴区基层社会动员工作指导性文件，规范多元社会主体开展社会动员的范围、权利和义务，建立社会动员组织、激励和评价机制。完善区人大代表联系原选举单位和人民群众的制度机制，向社区公开区人大代表基本信息，建立人大代表与选区选民之间的联系网络。加强社会领域统战工作，完善统战社团和统战成员参与社会治理机制。逐步增加社会组织代表人士在党代会代表、人大代表和政协委员中的比例，构建制度化的社会组织协商民主机制。建立健全联系新社会阶层机制。推动社会企业发展，支持从事物业服务提升、社区养老服务、社会公益服务等领域的机构或组织转型为社会企业。完善社区议事协商制度，建立社区党组织、居委会、业委会、物业服务企业、驻区单位和社区社会组织等共同参与的“多方共建”机制，将公共服务、公益事业与居民直接利益相关的事项纳入议事协商范畴，鼓励社区“民事民提、民事民议、民事民决、民事民办、民事民评”。推动民主协商广泛、多层、制度化发展，为共建共治共享拓展广阔空间。到</w:t>
      </w:r>
      <w:r>
        <w:t>2025</w:t>
      </w:r>
      <w:r>
        <w:rPr>
          <w:rFonts w:hint="eastAsia"/>
        </w:rPr>
        <w:t>年，全区每个镇（街）培育不少于</w:t>
      </w:r>
      <w:r>
        <w:t>2个社区民主协商</w:t>
      </w:r>
      <w:r>
        <w:rPr>
          <w:rFonts w:hint="eastAsia"/>
        </w:rPr>
        <w:t>自治典型。</w:t>
      </w:r>
    </w:p>
    <w:p>
      <w:pPr>
        <w:pStyle w:val="4"/>
        <w:ind w:firstLine="643"/>
        <w:rPr>
          <w:sz w:val="32"/>
        </w:rPr>
      </w:pPr>
      <w:bookmarkStart w:id="44" w:name="_Toc76638005"/>
      <w:bookmarkStart w:id="45" w:name="_Toc92171414"/>
      <w:r>
        <w:rPr>
          <w:rFonts w:hint="eastAsia"/>
          <w:sz w:val="32"/>
        </w:rPr>
        <w:t>（五）搭建社会治理各类平台</w:t>
      </w:r>
      <w:bookmarkEnd w:id="44"/>
      <w:bookmarkEnd w:id="45"/>
    </w:p>
    <w:p>
      <w:pPr>
        <w:ind w:firstLine="643"/>
      </w:pPr>
      <w:r>
        <w:rPr>
          <w:rFonts w:hint="eastAsia"/>
          <w:b/>
          <w:bCs/>
        </w:rPr>
        <w:t>以网格化平台建设为重点，做实三级党建工作协调委员会。</w:t>
      </w:r>
      <w:r>
        <w:t>以</w:t>
      </w:r>
      <w:r>
        <w:rPr>
          <w:rFonts w:hint="eastAsia"/>
        </w:rPr>
        <w:t>区域化党建为抓手，积极拓展服务方式和内容，调动驻区单位积极性，打造共抓基层党建、共促区域治理的平台。用好</w:t>
      </w:r>
      <w:r>
        <w:t>12345市民服务热线及其各级、各类分中心，完善“接诉即办”机制，</w:t>
      </w:r>
      <w:r>
        <w:rPr>
          <w:rFonts w:hint="eastAsia"/>
        </w:rPr>
        <w:t>与</w:t>
      </w:r>
      <w:r>
        <w:t>网格化工作体系有机融合，提升社会服务质量和社会治理水平。</w:t>
      </w:r>
      <w:r>
        <w:rPr>
          <w:rFonts w:hint="eastAsia"/>
        </w:rPr>
        <w:t>加强社区党组织、社区居委会、社区服务站统筹协调的基层治理体系建设，团结引导社区社会组织、社区社会企业、业委会、物业企业、驻区单位和居民等，完善党建引领的社区治理体系。</w:t>
      </w:r>
    </w:p>
    <w:p>
      <w:pPr>
        <w:ind w:firstLine="643"/>
      </w:pPr>
      <w:r>
        <w:rPr>
          <w:rFonts w:hint="eastAsia"/>
          <w:b/>
          <w:bCs/>
        </w:rPr>
        <w:t>健全“枢纽型”社会组织工作体系。</w:t>
      </w:r>
      <w:r>
        <w:rPr>
          <w:rFonts w:hint="eastAsia"/>
        </w:rPr>
        <w:t>丰富工作内容、创新工作形式、完善支持措施，不断增强“枢纽型”社会组织的凝聚力、向心力，充分发挥联系服务、资源支撑、沟通反映、人才聚集的功能，巩固党和政府引导、联系、服务、管理各级各类社会组织的阵地。</w:t>
      </w:r>
    </w:p>
    <w:p>
      <w:pPr>
        <w:ind w:firstLine="643"/>
      </w:pPr>
      <w:r>
        <w:rPr>
          <w:rFonts w:hint="eastAsia"/>
          <w:b/>
          <w:bCs/>
        </w:rPr>
        <w:t>打造商务楼宇社会治理协同平台。</w:t>
      </w:r>
      <w:r>
        <w:rPr>
          <w:rFonts w:hint="eastAsia"/>
        </w:rPr>
        <w:t>建立商务楼宇社会工作站，构建楼宇内以党组织为领导核心，以商务楼宇社会工作站为载体，以共产党员、共青团员、楼宇志愿者为骨干队伍的组织体系，将社会治理、公共服务与企业需求有机结合起来。</w:t>
      </w:r>
    </w:p>
    <w:p>
      <w:pPr>
        <w:pStyle w:val="4"/>
        <w:ind w:firstLine="643"/>
        <w:rPr>
          <w:sz w:val="32"/>
        </w:rPr>
      </w:pPr>
      <w:bookmarkStart w:id="46" w:name="_Toc92171415"/>
      <w:r>
        <w:rPr>
          <w:rFonts w:hint="eastAsia"/>
          <w:sz w:val="32"/>
        </w:rPr>
        <w:t>（六）创新农村社区治理</w:t>
      </w:r>
      <w:bookmarkEnd w:id="46"/>
    </w:p>
    <w:p>
      <w:pPr>
        <w:ind w:firstLine="643"/>
      </w:pPr>
      <w:r>
        <w:rPr>
          <w:rFonts w:hint="eastAsia"/>
          <w:b/>
          <w:bCs/>
        </w:rPr>
        <w:t>完善农村社区治理的体制机制</w:t>
      </w:r>
      <w:r>
        <w:rPr>
          <w:rFonts w:hint="eastAsia"/>
        </w:rPr>
        <w:t>。建立健全具有社区化特色，凸显公共服务性质、适应农村社区发展的社区治理组织体系，丰富以农村党组织、群众自治组织为主要依托的治理结构。健全民主参与机制，提升社区自治组织的治理能力，培养村民参与社区治理的积极性，引导村民从被动参与到主动参与，提升社区居民自治水平。</w:t>
      </w:r>
    </w:p>
    <w:p>
      <w:pPr>
        <w:ind w:firstLine="643"/>
      </w:pPr>
      <w:r>
        <w:rPr>
          <w:rFonts w:hint="eastAsia"/>
          <w:b/>
          <w:bCs/>
        </w:rPr>
        <w:t>改革农村社会治理方式</w:t>
      </w:r>
      <w:r>
        <w:rPr>
          <w:rFonts w:hint="eastAsia"/>
        </w:rPr>
        <w:t>。将网格化治理模式的优势与农村社会治理相结合，将农村社区治理与美丽乡村建设、文明乡风建设、平安村庄建设、扫黑除恶、农村人居环境整治等工作深度融合。推动农村专业社会工作队伍、村级社会工作服务站建设。</w:t>
      </w:r>
    </w:p>
    <w:p>
      <w:pPr>
        <w:ind w:firstLine="643"/>
      </w:pPr>
      <w:r>
        <w:rPr>
          <w:rFonts w:hint="eastAsia"/>
          <w:b/>
          <w:bCs/>
        </w:rPr>
        <w:t>推广农村社区物业化管理</w:t>
      </w:r>
      <w:r>
        <w:rPr>
          <w:rFonts w:hint="eastAsia"/>
        </w:rPr>
        <w:t>。各镇以镇属物业公司为主，集体经济组织单独、联村成立物业公司为辅，吸纳、安置本镇劳动力，及时准确掌握村民需求动向，实施农村社区物业化管理。通过家园式管理和亲情化服务，为农村物业化提供环境卫生、安全管理、便民服务等基础服务。</w:t>
      </w:r>
    </w:p>
    <w:p>
      <w:pPr>
        <w:ind w:firstLine="643"/>
      </w:pPr>
      <w:r>
        <w:rPr>
          <w:rFonts w:hint="eastAsia"/>
          <w:b/>
          <w:bCs/>
        </w:rPr>
        <w:t>夯实农村基层政权建设</w:t>
      </w:r>
      <w:r>
        <w:rPr>
          <w:rFonts w:hint="eastAsia"/>
        </w:rPr>
        <w:t>。以党建为引领，选优配强村“两委”领导班子，激发农村党员活力，将村支部建设作为战斗堡垒，织密党建引领农村社区治理的网络。加大对村“两委”干部、后备干部等农村社区建设队伍在政治素质和专业素质方面的培训，增强理解和宣传政策的能力</w:t>
      </w:r>
      <w:r>
        <w:t>、</w:t>
      </w:r>
      <w:r>
        <w:rPr>
          <w:rFonts w:hint="eastAsia"/>
        </w:rPr>
        <w:t>执行政策的能力，掌握做好群众工作的方法</w:t>
      </w:r>
      <w:r>
        <w:t>,更好地发动和组织群众。</w:t>
      </w:r>
      <w:r>
        <w:rPr>
          <w:rFonts w:hint="eastAsia"/>
        </w:rPr>
        <w:t>创造条件引进年轻人才，加大培养增量队伍的力度，吸引年轻人投身家乡建设</w:t>
      </w:r>
      <w:r>
        <w:t>,为社区建设注入活力,保障农村社区发展的可持续性</w:t>
      </w:r>
      <w:r>
        <w:rPr>
          <w:rFonts w:hint="eastAsia"/>
        </w:rPr>
        <w:t>。</w:t>
      </w:r>
    </w:p>
    <w:p>
      <w:pPr>
        <w:pStyle w:val="3"/>
        <w:ind w:firstLine="643"/>
        <w:rPr>
          <w:lang w:val="zh-CN"/>
        </w:rPr>
      </w:pPr>
      <w:bookmarkStart w:id="47" w:name="_Toc92171416"/>
      <w:bookmarkStart w:id="48" w:name="_Toc76638006"/>
      <w:r>
        <w:rPr>
          <w:rFonts w:hint="eastAsia"/>
          <w:lang w:val="zh-CN"/>
        </w:rPr>
        <w:t>二、推进社会治理能力现代化</w:t>
      </w:r>
      <w:bookmarkEnd w:id="47"/>
      <w:bookmarkEnd w:id="48"/>
    </w:p>
    <w:p>
      <w:pPr>
        <w:ind w:firstLine="640"/>
      </w:pPr>
      <w:r>
        <w:rPr>
          <w:rFonts w:hint="eastAsia"/>
        </w:rPr>
        <w:t>推进社会治理能力现代化，需要加强党的全面领导，深入党建引领，实现四个转变，即治理主体要从政府包揽向政府主导、社会共同治理转变，治理方式要从管控规制向法治保障转变，治理手段要从单一向多种手段转变，治理环节要从事后处置向源头治理前移。</w:t>
      </w:r>
    </w:p>
    <w:p>
      <w:pPr>
        <w:pStyle w:val="4"/>
        <w:ind w:firstLine="643"/>
        <w:rPr>
          <w:sz w:val="32"/>
        </w:rPr>
      </w:pPr>
      <w:bookmarkStart w:id="49" w:name="_Toc92171417"/>
      <w:bookmarkStart w:id="50" w:name="_Toc76638007"/>
      <w:r>
        <w:rPr>
          <w:rFonts w:hint="eastAsia"/>
          <w:sz w:val="32"/>
        </w:rPr>
        <w:t>（一）深化党建引领，提升治理效能</w:t>
      </w:r>
      <w:bookmarkEnd w:id="49"/>
    </w:p>
    <w:p>
      <w:pPr>
        <w:ind w:firstLine="643"/>
      </w:pPr>
      <w:r>
        <w:rPr>
          <w:rFonts w:hint="eastAsia"/>
          <w:b/>
          <w:bCs/>
        </w:rPr>
        <w:t>大力推进区域化党建</w:t>
      </w:r>
      <w:r>
        <w:rPr>
          <w:rFonts w:hint="eastAsia"/>
        </w:rPr>
        <w:t>。抓实党建工作协调委员会，充分整合区域党建优势资源，编织区域化党组织网络，完善区域党建工作联席会议平台，明晰组织架构和职责分工</w:t>
      </w:r>
      <w:r>
        <w:t>，</w:t>
      </w:r>
      <w:r>
        <w:rPr>
          <w:rFonts w:hint="eastAsia"/>
        </w:rPr>
        <w:t>推动党组织与驻区单位</w:t>
      </w:r>
      <w:r>
        <w:t>、</w:t>
      </w:r>
      <w:r>
        <w:rPr>
          <w:rFonts w:hint="eastAsia"/>
        </w:rPr>
        <w:t>社会组织</w:t>
      </w:r>
      <w:r>
        <w:t>、</w:t>
      </w:r>
      <w:r>
        <w:rPr>
          <w:rFonts w:hint="eastAsia"/>
        </w:rPr>
        <w:t>新兴领域党组织多方联动</w:t>
      </w:r>
      <w:r>
        <w:t>，</w:t>
      </w:r>
      <w:r>
        <w:rPr>
          <w:rFonts w:hint="eastAsia"/>
        </w:rPr>
        <w:t>构建起以党组织为核心</w:t>
      </w:r>
      <w:r>
        <w:t>、</w:t>
      </w:r>
      <w:r>
        <w:rPr>
          <w:rFonts w:hint="eastAsia"/>
        </w:rPr>
        <w:t>区域联合党委为依托</w:t>
      </w:r>
      <w:r>
        <w:t>、</w:t>
      </w:r>
      <w:r>
        <w:rPr>
          <w:rFonts w:hint="eastAsia"/>
        </w:rPr>
        <w:t>多方共同参与的“区域共建</w:t>
      </w:r>
      <w:r>
        <w:t>、</w:t>
      </w:r>
      <w:r>
        <w:rPr>
          <w:rFonts w:hint="eastAsia"/>
        </w:rPr>
        <w:t>动态覆盖”的基层组织体系，实现社区党建、单位党建、行业党建多方联动，确保基层党组织覆盖广泛、组织有力。</w:t>
      </w:r>
    </w:p>
    <w:p>
      <w:pPr>
        <w:ind w:firstLine="643"/>
      </w:pPr>
      <w:r>
        <w:rPr>
          <w:rFonts w:hint="eastAsia"/>
          <w:b/>
          <w:bCs/>
        </w:rPr>
        <w:t>聚焦做实社区党建。</w:t>
      </w:r>
      <w:r>
        <w:rPr>
          <w:rFonts w:hint="eastAsia"/>
        </w:rPr>
        <w:t>推进社区党建品牌建设和能力提升计划。“十四五”期间，实现社区党组织工作人员培训全覆盖，选树一批</w:t>
      </w:r>
      <w:r>
        <w:t>先进社区党组织，表彰</w:t>
      </w:r>
      <w:r>
        <w:rPr>
          <w:rFonts w:hint="eastAsia"/>
        </w:rPr>
        <w:t>一批</w:t>
      </w:r>
      <w:r>
        <w:t>优秀社区党组织书记，建设</w:t>
      </w:r>
      <w:r>
        <w:rPr>
          <w:rFonts w:hint="eastAsia"/>
        </w:rPr>
        <w:t>一批</w:t>
      </w:r>
      <w:r>
        <w:t>社区书记工作室示范点，重点培育</w:t>
      </w:r>
      <w:r>
        <w:rPr>
          <w:rFonts w:hint="eastAsia"/>
        </w:rPr>
        <w:t>一批</w:t>
      </w:r>
      <w:r>
        <w:t>党建引领社区治理创新示范案例</w:t>
      </w:r>
      <w:r>
        <w:rPr>
          <w:rFonts w:hint="eastAsia"/>
        </w:rPr>
        <w:t>。做实社区“双报到”工作，创新在职党员发挥作用载体，丰富服务形式和内容，搭建社区服务需求和在职党员服务资源对接平台。</w:t>
      </w:r>
    </w:p>
    <w:p>
      <w:pPr>
        <w:ind w:firstLine="643"/>
      </w:pPr>
      <w:r>
        <w:rPr>
          <w:rFonts w:hint="eastAsia"/>
          <w:b/>
          <w:bCs/>
        </w:rPr>
        <w:t>创新“两新”领域党建。</w:t>
      </w:r>
      <w:r>
        <w:rPr>
          <w:rFonts w:hint="eastAsia"/>
        </w:rPr>
        <w:t>加强“两新”领域党组织规范化、党建工作标准化建设，加强互联网、律师、物业、快递等重点行业党建工作，以党建品牌创建推动社会组织和社会企业孵化工作。</w:t>
      </w:r>
    </w:p>
    <w:p>
      <w:pPr>
        <w:ind w:firstLine="643"/>
      </w:pPr>
      <w:r>
        <w:rPr>
          <w:rFonts w:hint="eastAsia"/>
          <w:b/>
          <w:bCs/>
        </w:rPr>
        <w:t>加强社会组织党建工作力度。</w:t>
      </w:r>
      <w:r>
        <w:rPr>
          <w:rFonts w:hint="eastAsia"/>
        </w:rPr>
        <w:t>抓好无党组织、无党员社会组织的党建工作，推进社会组织党建全面有效覆盖，党建工作在社会组织领域向纵深发展，为支持社会组织有序参与社会治理、承担社会责任提供坚强组织保证。</w:t>
      </w:r>
    </w:p>
    <w:p>
      <w:pPr>
        <w:pStyle w:val="4"/>
        <w:ind w:firstLine="643"/>
        <w:rPr>
          <w:rFonts w:ascii="仿宋" w:hAnsi="仿宋"/>
          <w:color w:val="000000"/>
          <w:sz w:val="32"/>
          <w:lang w:val="zh-CN"/>
        </w:rPr>
      </w:pPr>
      <w:bookmarkStart w:id="51" w:name="_Toc92171418"/>
      <w:r>
        <w:rPr>
          <w:rFonts w:hint="eastAsia" w:ascii="仿宋" w:hAnsi="仿宋"/>
          <w:color w:val="000000"/>
          <w:sz w:val="32"/>
          <w:lang w:val="zh-CN"/>
        </w:rPr>
        <w:t>（二）转变治理主体，强化系统治理</w:t>
      </w:r>
      <w:bookmarkEnd w:id="51"/>
    </w:p>
    <w:p>
      <w:pPr>
        <w:ind w:firstLine="643"/>
        <w:rPr>
          <w:rFonts w:hAnsi="仿宋"/>
          <w:color w:val="000000"/>
          <w:szCs w:val="32"/>
        </w:rPr>
      </w:pPr>
      <w:r>
        <w:rPr>
          <w:rFonts w:hint="eastAsia"/>
          <w:b/>
          <w:bCs/>
        </w:rPr>
        <w:t>优化政府职能，提升社会服务供给质量。</w:t>
      </w:r>
      <w:r>
        <w:rPr>
          <w:rFonts w:hint="eastAsia"/>
        </w:rPr>
        <w:t>建立健全政府向社会力量购买服务的统筹协调机制，完善购买服务指导性目录，有效扩大购买服务的范围和规模，支持利用公益事业补助资金、党组织服务群众经费和其他财政预算资金购买社会组织服务。巩固城乡“一刻钟社区服务圈”建设，到2025年建成市级“一刻钟社区服务圈”示范点30个，实现社区</w:t>
      </w:r>
      <w:r>
        <w:rPr>
          <w:rFonts w:hint="eastAsia" w:hAnsi="仿宋"/>
          <w:color w:val="000000"/>
          <w:szCs w:val="32"/>
        </w:rPr>
        <w:t>和村级规范化社会服务管理单元全覆盖。动态调整社区服务指导性目录，构建基本公共服务、便民生活服务和慈善公益服务相结合的社区社会服务体系。完善三级养老服务体系，建设长期集中养老床位、短期托养床位以及家庭照护床位等“三张床”，让老人享受连续、稳定、专业的养老服务。加大殡葬领域的政府公共服务投入，进一步扩大殡葬惠民服务清单，探索推进本区户籍逝者火化费减免工作，实现惠民政策从殡到葬的全过程覆盖。</w:t>
      </w:r>
    </w:p>
    <w:p>
      <w:pPr>
        <w:ind w:firstLine="643"/>
      </w:pPr>
      <w:r>
        <w:rPr>
          <w:rFonts w:hint="eastAsia"/>
          <w:b/>
          <w:bCs/>
        </w:rPr>
        <w:t>坚持社会协同，构建社会主体发展工程。</w:t>
      </w:r>
      <w:r>
        <w:rPr>
          <w:rFonts w:hint="eastAsia"/>
        </w:rPr>
        <w:t>构建社会组织扶持发展体系，以社会组织南部发展基地为依托，开展“党建服务、孵化培育、咨询指导、能力提升、宣传展示、能力评估”六大服务，形成社会组织扶持发展体系“上下贯通、分工明确、系统规范、资源整合、优势互补”的五大特色。推动社会组织孵化基地功能提升，完善社会组织培育孵化中心运营规范和服务标准，到2025年，镇（街）社会组织孵化服务机构覆盖率达到70%以上，工作覆盖率达到100%。加强社会组织联合会建设，到2025年，镇（街）社会组织联合会覆盖率达到80%以上。推进社会组织能力建设，加强社会组织承接政府购买服务培训和示范平台建设，加强社会组织服务基地规范化建设。优化社会组织结构和功能，鼓励发展应急类社会组织，优先发展行业协会商会类以及社区类、社会服务类、公益慈善类社会组织。鼓励并支持行业协会商会指导企业履行社会责任。强化政府引导作用，落实国家各项减税降费政策，激励企业主动履行社会责任。创建大兴区品牌社会组织，加强僵尸型社会组织清理整治力度。持续完善社区社会组织备案管理制度，“十四五”期间实现城市社区平均拥有不少于15个社区社会组织，农村社区平均拥有不少于8个社区社会组织的备案任务。</w:t>
      </w:r>
    </w:p>
    <w:p>
      <w:pPr>
        <w:ind w:firstLine="643"/>
        <w:rPr>
          <w:rFonts w:ascii="Times New Roman"/>
        </w:rPr>
      </w:pPr>
      <w:r>
        <w:rPr>
          <w:rFonts w:hint="eastAsia" w:hAnsi="仿宋"/>
          <w:b/>
          <w:bCs/>
          <w:color w:val="000000"/>
          <w:szCs w:val="32"/>
        </w:rPr>
        <w:t>强化专业支撑，加强社工人才队伍建设</w:t>
      </w:r>
      <w:r>
        <w:rPr>
          <w:rFonts w:hint="eastAsia" w:hAnsi="仿宋"/>
          <w:color w:val="000000"/>
          <w:szCs w:val="32"/>
        </w:rPr>
        <w:t>。</w:t>
      </w:r>
      <w:r>
        <w:rPr>
          <w:rFonts w:hint="eastAsia"/>
        </w:rPr>
        <w:t>加大人才培养力度，鼓励社会工作行政管理人才、行业管理人才、专业机构管理人才和督导人才等参与社会工作师考核评定。组织开展社会工作领军人物、“最美社工”等评选表彰活动，实施社会工作“优才计划”，大力提高社区工作者本土化比例，选拔和培养一批优秀社区社会工作专业人才。加强社区工作者队伍的专业化教育培训和职业道德建设，优化社区工作者评价考核机制。推动从优秀社区党组织书记中定向招录公务员和事业编人员工作的规范化、科学化。发挥镇（街）基础平台作用，建立社会工作服务站。到2025年，培育发展社会工作专业服务机构不少于160家。</w:t>
      </w:r>
    </w:p>
    <w:p>
      <w:pPr>
        <w:pStyle w:val="4"/>
        <w:ind w:firstLine="643"/>
        <w:rPr>
          <w:sz w:val="32"/>
        </w:rPr>
      </w:pPr>
      <w:bookmarkStart w:id="52" w:name="_Toc92171419"/>
      <w:r>
        <w:rPr>
          <w:rFonts w:hint="eastAsia"/>
          <w:sz w:val="32"/>
        </w:rPr>
        <w:t>（三）转变治理方式，强化依法治理</w:t>
      </w:r>
      <w:bookmarkEnd w:id="52"/>
    </w:p>
    <w:p>
      <w:pPr>
        <w:ind w:firstLine="643"/>
      </w:pPr>
      <w:r>
        <w:rPr>
          <w:rFonts w:hint="eastAsia"/>
          <w:b/>
          <w:bCs/>
        </w:rPr>
        <w:t>全力构建全民普法格局</w:t>
      </w:r>
      <w:r>
        <w:rPr>
          <w:rFonts w:hint="eastAsia"/>
        </w:rPr>
        <w:t>。强化普法责任制，加强普法工作针对性和实效性，发挥人民团体、社会组织、行业协会等力量在普法工作中的积极作用，动员社会力量参与普法工作，丰富线上线下普法形式，贯彻落实《民法典》以及婚姻登记、养老、慈善、社会救助、老年人权益、殡葬、行政区划、社会组织、志愿服务等监管等领域的普法工作。</w:t>
      </w:r>
    </w:p>
    <w:p>
      <w:pPr>
        <w:ind w:firstLine="643"/>
      </w:pPr>
      <w:r>
        <w:rPr>
          <w:rFonts w:hint="eastAsia"/>
          <w:b/>
          <w:bCs/>
        </w:rPr>
        <w:t>开展多种形式的法治创建活动</w:t>
      </w:r>
      <w:r>
        <w:rPr>
          <w:rFonts w:hint="eastAsia"/>
        </w:rPr>
        <w:t>。把推动全民守法作为社会治理的重要任务，努力实现法治宣传教育重点内容从普及法律知识向增强法治观念、培育法治信仰转变，尤其要重视青少年法治教育，让人民群众形成依法办事的意识和习惯。</w:t>
      </w:r>
    </w:p>
    <w:p>
      <w:pPr>
        <w:ind w:firstLine="643"/>
      </w:pPr>
      <w:r>
        <w:rPr>
          <w:rFonts w:hint="eastAsia"/>
          <w:b/>
          <w:bCs/>
        </w:rPr>
        <w:t>加强依法治理人才队伍建设。</w:t>
      </w:r>
      <w:r>
        <w:rPr>
          <w:rFonts w:hint="eastAsia"/>
        </w:rPr>
        <w:t>建立专业化培训机制，提升队伍普法、执法专业化水平，大力培养和锻造一支尊崇法治、联系群众、素质过硬、充满活力的依法治理人才队伍。加大执法检查力度，确保法规制度落实权威。</w:t>
      </w:r>
    </w:p>
    <w:p>
      <w:pPr>
        <w:ind w:firstLine="643"/>
      </w:pPr>
      <w:r>
        <w:rPr>
          <w:rFonts w:hint="eastAsia"/>
          <w:b/>
          <w:bCs/>
        </w:rPr>
        <w:t>强化社会规范和道德规范建设。</w:t>
      </w:r>
      <w:r>
        <w:rPr>
          <w:rFonts w:hint="eastAsia"/>
        </w:rPr>
        <w:t>加强居民公约、村规民约、行业规章、社会组织章程等社会规范建设，推动社会成员自我约束、自我管理、自我规范。强化道德规范教育，形成良好的社会风尚和有序的社会秩序。加强法律援助工作，为弱势群体、优抚对象和特殊案件的当事人提供免费法律援助。</w:t>
      </w:r>
    </w:p>
    <w:p>
      <w:pPr>
        <w:pStyle w:val="4"/>
        <w:ind w:firstLine="643"/>
        <w:rPr>
          <w:sz w:val="32"/>
        </w:rPr>
      </w:pPr>
      <w:bookmarkStart w:id="53" w:name="_Toc92171420"/>
      <w:r>
        <w:rPr>
          <w:rFonts w:hint="eastAsia"/>
          <w:sz w:val="32"/>
        </w:rPr>
        <w:t>（四）转变治理手段，强化综合治理</w:t>
      </w:r>
      <w:bookmarkEnd w:id="53"/>
    </w:p>
    <w:p>
      <w:pPr>
        <w:ind w:firstLine="643"/>
        <w:rPr>
          <w:rFonts w:ascii="Times New Roman"/>
        </w:rPr>
      </w:pPr>
      <w:r>
        <w:rPr>
          <w:rFonts w:hint="eastAsia" w:hAnsi="仿宋"/>
          <w:b/>
          <w:bCs/>
          <w:color w:val="000000"/>
          <w:szCs w:val="32"/>
        </w:rPr>
        <w:t>坚持科技支撑，实施数字社会建设工程。</w:t>
      </w:r>
      <w:r>
        <w:rPr>
          <w:rFonts w:hAnsi="仿宋"/>
          <w:color w:val="000000"/>
          <w:szCs w:val="32"/>
        </w:rPr>
        <w:t>实现社会建设领域数字化升级</w:t>
      </w:r>
      <w:r>
        <w:rPr>
          <w:rFonts w:hint="eastAsia" w:hAnsi="仿宋"/>
          <w:color w:val="000000"/>
          <w:szCs w:val="32"/>
        </w:rPr>
        <w:t>，推动</w:t>
      </w:r>
      <w:r>
        <w:rPr>
          <w:rFonts w:hAnsi="仿宋"/>
          <w:color w:val="000000"/>
          <w:szCs w:val="32"/>
        </w:rPr>
        <w:t>大数据资源跨层级、跨部门互联互通、有效整合。推进政务服务全区通办、全程网办、掌上办理。</w:t>
      </w:r>
      <w:r>
        <w:rPr>
          <w:rFonts w:hint="eastAsia"/>
        </w:rPr>
        <w:t>探索运用大数据、人工智能等技术，建立社会治理大数据辅助决策机制，提高借助大数据思维进行决策、管理和服务的意识，推动“业务引领”向“数据引领”的转变。推进大数据、区块链、人工智能、5G通信、物联网等新技术在社会服务、基层治理、社会动员、平安建设、重大突发应急公共事件应对等领域中的深度融合和创新应用，推出一批科技含量高、示范性强的数字化应用场景。推动区块链技术与社会治理融合发展，推出一批“区块链＋民生服务”示范应用项目。加强“智慧社区”建设，落实社区治理“一库两平台”建设，运用社区论坛、微博、微信、移动客户端等新媒体，引导社区居民参与公共事务、开展协商活动、组织邻里互助，推动社区互动常态化、智能化，运用互联网技术推进“智慧党建”，推进社区物联网建设，培育线上线下有机融合的社区治理和服务新模式。</w:t>
      </w:r>
    </w:p>
    <w:p>
      <w:pPr>
        <w:ind w:firstLine="643"/>
      </w:pPr>
      <w:r>
        <w:rPr>
          <w:rFonts w:hint="eastAsia" w:hAnsi="仿宋"/>
          <w:b/>
          <w:bCs/>
          <w:color w:val="000000"/>
          <w:szCs w:val="32"/>
        </w:rPr>
        <w:t>坚持示范带动，实施社会文明促进工程。</w:t>
      </w:r>
      <w:r>
        <w:rPr>
          <w:rFonts w:hint="eastAsia"/>
        </w:rPr>
        <w:t>完成全国文明城区创建，深入开展文明城区、文明村镇、文明单位、文明学校、文明家庭等群众性精神文明建设，推进新时代文明实践工作品牌化、项目化、全域化建设。注重发挥居民公约、村规民约、家风家训在城乡社区治理中的基础性作用。常态化抓好背街小巷环境精细化整治提升工作，着力打造精品宜居街巷。大力弘扬“抗疫精神”，广泛开展群众性精神文明创建活动，深化榜样人物选树推广，倡导“光盘行动”、“一米线”、有序停车等文明行为。推动生活垃圾分类，深入开展爱国卫生运动，加大对公共卫生、公共场所秩序、交通出行、社区生活等方面不文明行为的整治力度。坚持疏控并举，动态清零“散乱污”企业。推进见义勇为文化阵地建设，规范见义勇为行为确认、奖励等环节，完善见义勇为行为部门协同联动工作机制和区级见义勇为评审委员会工作制度，提升见义勇为社会参与度。推动志愿服务发展，培育一批有影响力的志愿服务组织和志愿服务品牌项目。通过记账补贴、时间银行等形式对社区志愿者进行奖励。“十四五”末，实现实名注册志愿者人数不低于全区常住人口比例的21%。大力发展慈善事业，建立政府救助与慈善救助衔接机制，健全临时救助政策措施，完善服务转介机制，探索发展“互联网+慈善”和智慧慈善等。加强社会信用体系建设。建立健全守信联合激励和失信联合惩戒机制，加快将社会组织诚信自律写入社会组织章程。</w:t>
      </w:r>
    </w:p>
    <w:p>
      <w:pPr>
        <w:pStyle w:val="4"/>
        <w:ind w:firstLine="643"/>
        <w:rPr>
          <w:sz w:val="32"/>
        </w:rPr>
      </w:pPr>
      <w:bookmarkStart w:id="54" w:name="_Toc92171421"/>
      <w:r>
        <w:rPr>
          <w:rFonts w:hint="eastAsia"/>
          <w:sz w:val="32"/>
        </w:rPr>
        <w:t>（五）转变治理环节，强化源头治理</w:t>
      </w:r>
      <w:bookmarkEnd w:id="54"/>
    </w:p>
    <w:bookmarkEnd w:id="50"/>
    <w:p>
      <w:pPr>
        <w:pStyle w:val="14"/>
        <w:widowControl/>
        <w:spacing w:before="0" w:beforeAutospacing="0" w:after="0" w:afterAutospacing="0" w:line="360" w:lineRule="atLeast"/>
        <w:ind w:firstLine="560"/>
        <w:jc w:val="both"/>
        <w:rPr>
          <w:rFonts w:hAnsi="仿宋" w:eastAsia="仿宋_GB2312"/>
          <w:sz w:val="32"/>
          <w:szCs w:val="32"/>
        </w:rPr>
      </w:pPr>
      <w:bookmarkStart w:id="55" w:name="_Toc76638009"/>
      <w:r>
        <w:rPr>
          <w:rFonts w:hint="eastAsia" w:hAnsi="仿宋" w:eastAsia="仿宋_GB2312"/>
          <w:b/>
          <w:bCs/>
          <w:color w:val="000000"/>
          <w:sz w:val="32"/>
          <w:szCs w:val="32"/>
        </w:rPr>
        <w:t>加强风险防控，完善社会安全运行网络</w:t>
      </w:r>
      <w:bookmarkEnd w:id="55"/>
      <w:r>
        <w:rPr>
          <w:rFonts w:hint="eastAsia" w:hAnsi="仿宋" w:eastAsia="仿宋_GB2312"/>
          <w:b/>
          <w:bCs/>
          <w:color w:val="000000"/>
          <w:sz w:val="32"/>
          <w:szCs w:val="32"/>
        </w:rPr>
        <w:t>。</w:t>
      </w:r>
      <w:r>
        <w:rPr>
          <w:rFonts w:hint="eastAsia" w:hAnsi="仿宋" w:eastAsia="仿宋_GB2312"/>
          <w:sz w:val="32"/>
          <w:szCs w:val="32"/>
        </w:rPr>
        <w:t>全面做好市域社会治理现代化试点，完成国家安全发展示范城市创建，建设平安大兴。健全公共卫生常态化应急机制，统筹抓好常态化疫情防控，提升应急处置能力。</w:t>
      </w:r>
      <w:r>
        <w:rPr>
          <w:rFonts w:hAnsi="仿宋" w:eastAsia="仿宋_GB2312"/>
          <w:sz w:val="32"/>
          <w:szCs w:val="32"/>
        </w:rPr>
        <w:t>构建安全高效的城市运行体系</w:t>
      </w:r>
      <w:r>
        <w:rPr>
          <w:rFonts w:hint="eastAsia" w:hAnsi="仿宋" w:eastAsia="仿宋_GB2312"/>
          <w:sz w:val="32"/>
          <w:szCs w:val="32"/>
        </w:rPr>
        <w:t>，</w:t>
      </w:r>
      <w:r>
        <w:rPr>
          <w:rFonts w:hAnsi="仿宋" w:eastAsia="仿宋_GB2312"/>
          <w:sz w:val="32"/>
          <w:szCs w:val="32"/>
        </w:rPr>
        <w:t>坚持</w:t>
      </w:r>
      <w:r>
        <w:rPr>
          <w:rFonts w:hint="eastAsia" w:hAnsi="仿宋" w:eastAsia="仿宋_GB2312"/>
          <w:sz w:val="32"/>
          <w:szCs w:val="32"/>
        </w:rPr>
        <w:t>专</w:t>
      </w:r>
      <w:r>
        <w:rPr>
          <w:rFonts w:hAnsi="仿宋" w:eastAsia="仿宋_GB2312"/>
          <w:sz w:val="32"/>
          <w:szCs w:val="32"/>
        </w:rPr>
        <w:t>群结合，群防群治，强化立体化社会治安防控。严格落实安全生产责任制，加强重点行业领域安全风险防控，建立全过程安全责任追溯制度，筑牢安全生产防线。健全防灾减灾救灾体系，加强自然灾害监测预警及防御工程建设。加强火灾高风险行业和领域</w:t>
      </w:r>
      <w:r>
        <w:rPr>
          <w:rFonts w:hint="eastAsia" w:hAnsi="仿宋" w:eastAsia="仿宋_GB2312"/>
          <w:sz w:val="32"/>
          <w:szCs w:val="32"/>
        </w:rPr>
        <w:t>的</w:t>
      </w:r>
      <w:r>
        <w:rPr>
          <w:rFonts w:hAnsi="仿宋" w:eastAsia="仿宋_GB2312"/>
          <w:sz w:val="32"/>
          <w:szCs w:val="32"/>
        </w:rPr>
        <w:t>防控，科学合理布局消防救援站；加强应急救援队伍建设，完善避难场所布局，增强灾害抵御韧性和减灾救灾能力，有效遏制重特大安全事故。强化食品药品全过程监管，完善食品药品安全监督管理制度，巩固食品安全示范区建设成果。</w:t>
      </w:r>
      <w:r>
        <w:rPr>
          <w:rFonts w:hint="eastAsia" w:hAnsi="仿宋" w:eastAsia="仿宋_GB2312"/>
          <w:sz w:val="32"/>
          <w:szCs w:val="32"/>
        </w:rPr>
        <w:t>推进区域治安防控网建设，健全社会面常态化防控机制，坚持整体防控、区域联动，提升动态掌控治安局势和维护治安安全的能力。加强区级综治中心建设，完善矛盾纠纷排查化解、特殊人群服务管理、群防群治力量发动、开展平安创建等实体功能，健全完善统筹协调、定期会商、工作联动、应急处置等工作机制。提升大兴机场、地铁、火车站、公交车站、步行街、公园、商场、饭店等人流密集场所安全防范水平。围绕闪送、众包、网约车、短租房、共享住房等新业态，推动行业主管部门履行安全监管职责，落实经营主体和第三方平台责任，让群众享受安全服务。深入开展城乡结合部地区安全隐患综合整治。</w:t>
      </w:r>
      <w:bookmarkStart w:id="56" w:name="_Toc76638011"/>
    </w:p>
    <w:p>
      <w:pPr>
        <w:ind w:firstLine="643"/>
      </w:pPr>
      <w:r>
        <w:rPr>
          <w:rFonts w:hint="eastAsia"/>
          <w:b/>
          <w:bCs/>
          <w:color w:val="000000"/>
        </w:rPr>
        <w:t>坚持需求导向，完善社会沟通融合机制。</w:t>
      </w:r>
      <w:r>
        <w:rPr>
          <w:rFonts w:hint="eastAsia"/>
        </w:rPr>
        <w:t>拓宽、畅通和规范社情民意沟通渠道，及时就地解决群众的合理合法诉求。完善各镇（街）“七有”“五性”监测评价体系，形成月度、季度、年度综合、动态评价机制。深化“接诉即办”工作，开通网上12345和民意直通车，建立民生诉求数据库，加强动态监测和分析研判，完善稳定考核评价体系，推进重点问题解决。引入社会评价机构，科学确立以居民满意度为主的社区考核评价体系，确保考核客观、公正、有效。健全完善矛盾纠纷多元化解机制，不断完善人民调解、行政调解、司法调解联动工作体系，完善资源整合、科学分流、效力对接的制度机制。打造社区议事厅，推广“拉家常”议事会机制。在全区所有社区建立“拉家常”议事会，实现多方参与、协商自治的“拉家常”议事会机制全覆盖，切实解决居民热点、难点问题，推动形成小事简议、快事快议、难事众议，不断提升基层治理与服务的精细化、信息化与智能化水平，将矛盾纠纷化解在基层。加强社会心理服务，优化区级社会心理服务中心功能，增建社会心理服务站点。建立健全社会心理服务体系和危机干预机制，开发设计心理健康测评和筛查系统，建立心理健康档案，加大对青少年、孕产妇、老年人、高压职业四类人群的心理干预力度。规模化培养社会心理人才，开展心理服务专家督导。到2025年，实现镇（街）级社会心理服务中心（站）全覆盖。</w:t>
      </w:r>
      <w:bookmarkEnd w:id="56"/>
      <w:bookmarkStart w:id="57" w:name="_Toc76638013"/>
    </w:p>
    <w:p>
      <w:pPr>
        <w:ind w:firstLine="643"/>
      </w:pPr>
      <w:r>
        <w:rPr>
          <w:rFonts w:hint="eastAsia"/>
          <w:b/>
          <w:bCs/>
        </w:rPr>
        <w:t>推进重心下移，构建基层治理创新生态</w:t>
      </w:r>
      <w:bookmarkEnd w:id="57"/>
      <w:r>
        <w:rPr>
          <w:rFonts w:hint="eastAsia"/>
          <w:b/>
          <w:bCs/>
        </w:rPr>
        <w:t>。</w:t>
      </w:r>
      <w:r>
        <w:rPr>
          <w:rFonts w:hint="eastAsia"/>
        </w:rPr>
        <w:t>以社会动员为依托，健全社区党组织领导下，社区社会组织、业主委员会、物业服务企业、驻区单位、志愿者、社区居民等共同参与的社区治理体系。以银发产业为导向，发展普惠型养老服务和互助养老，推动“物业+养老”综合服务模式，探索国际康养社区建设，培育养老新业态，实现养老事业和养老产业协同发展。以精细管理为抓手，深化城市协管员队伍管理体制改革，做实网格管理，强化科技手段支撑，破解流动人口管理、物业管理、垃圾分类等难点问题。推进网格城市服务管理系统、“一键通”呼叫系统、非紧急救助等治理网络融合衔接。将物业管理纳入社区治理体系，落实《北京市物业管理条例》，发挥“物业超市”机制作用，成立大兴区社区物业服务协会，搭建社区服务供需对接平台。到2025年，业委会（物管会）组建率、物业管理覆盖率、党的组织和工作覆盖率超过90%，妥善解决老旧小区、失管小区等问题。</w:t>
      </w:r>
    </w:p>
    <w:p>
      <w:pPr>
        <w:pStyle w:val="15"/>
        <w:rPr>
          <w:sz w:val="36"/>
          <w:szCs w:val="36"/>
        </w:rPr>
      </w:pPr>
      <w:bookmarkStart w:id="58" w:name="_Toc92171422"/>
      <w:bookmarkStart w:id="59" w:name="_Toc76638016"/>
      <w:r>
        <w:rPr>
          <w:rFonts w:hint="eastAsia"/>
          <w:sz w:val="36"/>
          <w:szCs w:val="36"/>
        </w:rPr>
        <w:t>第四章</w:t>
      </w:r>
      <w:r>
        <w:rPr>
          <w:sz w:val="36"/>
          <w:szCs w:val="36"/>
        </w:rPr>
        <w:t xml:space="preserve"> </w:t>
      </w:r>
      <w:r>
        <w:rPr>
          <w:rFonts w:hint="eastAsia"/>
          <w:sz w:val="36"/>
          <w:szCs w:val="36"/>
        </w:rPr>
        <w:t>保障措施</w:t>
      </w:r>
      <w:bookmarkEnd w:id="58"/>
      <w:bookmarkEnd w:id="59"/>
    </w:p>
    <w:p>
      <w:pPr>
        <w:pStyle w:val="3"/>
        <w:ind w:firstLine="643"/>
      </w:pPr>
      <w:bookmarkStart w:id="60" w:name="_Toc92171423"/>
      <w:bookmarkStart w:id="61" w:name="_Toc76638017"/>
      <w:r>
        <w:rPr>
          <w:rFonts w:hint="eastAsia"/>
        </w:rPr>
        <w:t>一、组织领导</w:t>
      </w:r>
      <w:bookmarkEnd w:id="60"/>
      <w:bookmarkEnd w:id="61"/>
    </w:p>
    <w:p>
      <w:pPr>
        <w:ind w:firstLine="640"/>
      </w:pPr>
      <w:r>
        <w:rPr>
          <w:rFonts w:hint="eastAsia"/>
        </w:rPr>
        <w:t>充分发挥区社会建设领导小组的职能和作用，进一步明确工作权责，切实加强对成员单位的联系指导，加强对规划实施的组织领导、指挥协调和监督检查工作。建立社会建设定期会商制度，搭建社会治理工作统筹协调平台，研究解决区域社会治理方面的重大问题，形成部门协作高效、社会广泛参与的社会治理工作格局。各专责小组及其成员单位根据规划确定的建设任务，按照职责分工，制订行动计划，全力推进任务落实。</w:t>
      </w:r>
    </w:p>
    <w:p>
      <w:pPr>
        <w:pStyle w:val="3"/>
        <w:ind w:firstLine="643"/>
      </w:pPr>
      <w:bookmarkStart w:id="62" w:name="_Toc92171424"/>
      <w:bookmarkStart w:id="63" w:name="_Toc76638018"/>
      <w:r>
        <w:rPr>
          <w:rFonts w:hint="eastAsia"/>
        </w:rPr>
        <w:t>二、政策保障</w:t>
      </w:r>
      <w:bookmarkEnd w:id="62"/>
      <w:bookmarkEnd w:id="63"/>
    </w:p>
    <w:p>
      <w:pPr>
        <w:ind w:firstLine="640"/>
      </w:pPr>
      <w:r>
        <w:rPr>
          <w:rFonts w:hint="eastAsia"/>
        </w:rPr>
        <w:t>结合规划重点任务需要，出台相关配套政策，为规划实施提供政策保障。加强社会治理制度建设，完善党委领导、政府负责、社会协同、公众参与、法治保障的社会治理体制机制，提高社会治理社会化、法治化、智能化、专业化水平。完善制度化规范化建设机制，健全社会治理相关政策法规，注重政策创新，支持实践创新，引导多元主体有力、有序、有效地参与社会治理。</w:t>
      </w:r>
    </w:p>
    <w:p>
      <w:pPr>
        <w:pStyle w:val="3"/>
        <w:ind w:firstLine="643"/>
      </w:pPr>
      <w:bookmarkStart w:id="64" w:name="_Toc76638019"/>
      <w:bookmarkStart w:id="65" w:name="_Toc92171425"/>
      <w:r>
        <w:rPr>
          <w:rFonts w:hint="eastAsia"/>
        </w:rPr>
        <w:t>三、资金保障</w:t>
      </w:r>
      <w:bookmarkEnd w:id="64"/>
      <w:bookmarkEnd w:id="65"/>
    </w:p>
    <w:p>
      <w:pPr>
        <w:ind w:firstLine="640"/>
      </w:pPr>
      <w:r>
        <w:rPr>
          <w:rFonts w:hint="eastAsia"/>
        </w:rPr>
        <w:t>完善事权与财权相统一的社会治理财政投入保障机制，逐步加大财政对社会治理的支持力度。落实财政资金使用绩效评价制度，调整优化投入结构，加强对重点项目的引导和扶持，确保财政对社会治理的投入取得实际成效。发挥区级社会建设资金的引导和推动作用，形成以政府投入为主的多渠道、多元化的资金投入机制，为社会治理事业的发展提供强有力的资金保障。鼓励社会资本参与社会治理，探索合理的投入产出和投资回报机制。加强基层基础建设，在人员编制、资金、设施设备等方面进一步向镇（街）、村（社区）倾斜，确保基层有权、有钱、有人办事。</w:t>
      </w:r>
    </w:p>
    <w:p>
      <w:pPr>
        <w:pStyle w:val="3"/>
        <w:ind w:firstLine="643"/>
      </w:pPr>
      <w:bookmarkStart w:id="66" w:name="_Toc76638020"/>
      <w:bookmarkStart w:id="67" w:name="_Toc92171426"/>
      <w:r>
        <w:rPr>
          <w:rFonts w:hint="eastAsia"/>
        </w:rPr>
        <w:t>四、宣传激励</w:t>
      </w:r>
      <w:bookmarkEnd w:id="66"/>
      <w:bookmarkEnd w:id="67"/>
    </w:p>
    <w:p>
      <w:pPr>
        <w:ind w:firstLine="640"/>
      </w:pPr>
      <w:r>
        <w:rPr>
          <w:rFonts w:hint="eastAsia"/>
        </w:rPr>
        <w:t>综合运用法律、政策、经济、行政等手段，宣传、动员、协商、引导等办法，围绕规划确定的目标和重点任务，推进规划有效实施。针对社会组织从业人员，建立定期培训制度，提高社会组织工作人员的服务能力和管理水平。加大典型发掘和宣传工作力度，提高社会组织从业人员的职业荣誉感和社会美誉度，完善人才激励机制。广泛开展“十四五”时期社会治理规划展示活动，发挥属地、园区管委会作用，加强与企业、群众的沟通，引导专家学者、新闻媒体、群众关心关注和监督规划任务的实施，凝聚共识，形成全社会关心社会建设、支持社会体制改革、参与社会治理的良好氛围。</w:t>
      </w:r>
    </w:p>
    <w:p>
      <w:pPr>
        <w:pStyle w:val="3"/>
        <w:ind w:firstLine="643"/>
      </w:pPr>
      <w:bookmarkStart w:id="68" w:name="_Toc76638021"/>
      <w:bookmarkStart w:id="69" w:name="_Toc92171427"/>
      <w:r>
        <w:rPr>
          <w:rFonts w:hint="eastAsia"/>
        </w:rPr>
        <w:t>五、协同发展</w:t>
      </w:r>
      <w:bookmarkEnd w:id="68"/>
      <w:bookmarkEnd w:id="69"/>
    </w:p>
    <w:p>
      <w:pPr>
        <w:ind w:firstLine="640"/>
      </w:pPr>
      <w:r>
        <w:rPr>
          <w:rFonts w:hint="eastAsia"/>
        </w:rPr>
        <w:t>全区各有关部门强化分工协作，实现社会建设与民政事业“一盘棋”格局。加强区委全面深化改革委员会对社会体制改革工作的领导、指导。社会建设和民政部门发挥牵头单位职责，以本次规划为契机，统筹推进社会治理、民政事业与社会福利事业的基础设施建设；协同发展改革部门加强与规划、土地、财政等区级各部门之间的沟通协调，优化监管审批流程，提高工作效率，为项目落地创造便利条件。注重规划推进过程中的协同配合，提高整体运作效率。</w:t>
      </w:r>
    </w:p>
    <w:p>
      <w:pPr>
        <w:pStyle w:val="3"/>
        <w:ind w:firstLine="643"/>
      </w:pPr>
      <w:bookmarkStart w:id="70" w:name="_Toc76638022"/>
      <w:bookmarkStart w:id="71" w:name="_Toc92171428"/>
      <w:r>
        <w:rPr>
          <w:rFonts w:hint="eastAsia"/>
        </w:rPr>
        <w:t>六、督促检查</w:t>
      </w:r>
      <w:bookmarkEnd w:id="70"/>
      <w:bookmarkEnd w:id="71"/>
    </w:p>
    <w:p>
      <w:pPr>
        <w:ind w:firstLine="640"/>
      </w:pPr>
      <w:r>
        <w:rPr>
          <w:rFonts w:hint="eastAsia"/>
        </w:rPr>
        <w:t>研究制订年度实施方案，逐年逐项细化分解规划目标和重点任务，明确责任分工，抓好工作落实，确保规划目标任务按时完成。完善检查督导和监测动态评估机制，适时对重点领域和重点任务开展专题评估，形成评估报告。</w:t>
      </w:r>
    </w:p>
    <w:p>
      <w:pPr>
        <w:ind w:firstLine="600"/>
        <w:rPr>
          <w:rFonts w:ascii="仿宋" w:hAnsi="仿宋"/>
          <w:color w:val="000000"/>
          <w:sz w:val="30"/>
          <w:szCs w:val="30"/>
        </w:rPr>
      </w:pP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rPr>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t>1</w:t>
    </w:r>
    <w:r>
      <w:rPr>
        <w:rFonts w:ascii="宋体" w:hAnsi="宋体" w:eastAsia="宋体"/>
        <w:sz w:val="21"/>
        <w:szCs w:val="21"/>
      </w:rPr>
      <w:fldChar w:fldCharType="end"/>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r>
      <w:rPr>
        <w:sz w:val="18"/>
      </w:rPr>
      <w:pict>
        <v:shape id="PowerPlusWaterMarkObject34860" o:spid="_x0000_s3073"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56E0D6A"/>
    <w:rsid w:val="00001CDD"/>
    <w:rsid w:val="00002A65"/>
    <w:rsid w:val="000039F5"/>
    <w:rsid w:val="00003A0B"/>
    <w:rsid w:val="00005353"/>
    <w:rsid w:val="00012ACC"/>
    <w:rsid w:val="00013A62"/>
    <w:rsid w:val="00014D47"/>
    <w:rsid w:val="0001537F"/>
    <w:rsid w:val="00016A6F"/>
    <w:rsid w:val="0002202A"/>
    <w:rsid w:val="00022E52"/>
    <w:rsid w:val="0002316B"/>
    <w:rsid w:val="00023A91"/>
    <w:rsid w:val="000253A0"/>
    <w:rsid w:val="000253D8"/>
    <w:rsid w:val="00025846"/>
    <w:rsid w:val="000311F4"/>
    <w:rsid w:val="00031219"/>
    <w:rsid w:val="00035DC2"/>
    <w:rsid w:val="00040884"/>
    <w:rsid w:val="00042432"/>
    <w:rsid w:val="00047102"/>
    <w:rsid w:val="000509E5"/>
    <w:rsid w:val="00051878"/>
    <w:rsid w:val="00061342"/>
    <w:rsid w:val="00062BB9"/>
    <w:rsid w:val="00063631"/>
    <w:rsid w:val="00067E22"/>
    <w:rsid w:val="00067F09"/>
    <w:rsid w:val="000723BB"/>
    <w:rsid w:val="000773E9"/>
    <w:rsid w:val="00083A2E"/>
    <w:rsid w:val="0008405B"/>
    <w:rsid w:val="000841A8"/>
    <w:rsid w:val="00084DA2"/>
    <w:rsid w:val="00091C99"/>
    <w:rsid w:val="00095268"/>
    <w:rsid w:val="0009530B"/>
    <w:rsid w:val="000A750E"/>
    <w:rsid w:val="000A7E92"/>
    <w:rsid w:val="000B105C"/>
    <w:rsid w:val="000B47B1"/>
    <w:rsid w:val="000B78DB"/>
    <w:rsid w:val="000C2557"/>
    <w:rsid w:val="000C4DD0"/>
    <w:rsid w:val="000C5600"/>
    <w:rsid w:val="000C60E4"/>
    <w:rsid w:val="000D1545"/>
    <w:rsid w:val="000D43A2"/>
    <w:rsid w:val="000D5EB0"/>
    <w:rsid w:val="000E0B30"/>
    <w:rsid w:val="000E0E2A"/>
    <w:rsid w:val="000E31ED"/>
    <w:rsid w:val="000F2AE4"/>
    <w:rsid w:val="000F4832"/>
    <w:rsid w:val="000F4F2F"/>
    <w:rsid w:val="000F603F"/>
    <w:rsid w:val="000F6B7A"/>
    <w:rsid w:val="000F7DBE"/>
    <w:rsid w:val="00100800"/>
    <w:rsid w:val="00101ADC"/>
    <w:rsid w:val="00101EF0"/>
    <w:rsid w:val="00105337"/>
    <w:rsid w:val="001061C1"/>
    <w:rsid w:val="00110AEA"/>
    <w:rsid w:val="001129E4"/>
    <w:rsid w:val="001133EF"/>
    <w:rsid w:val="0011510E"/>
    <w:rsid w:val="0012171C"/>
    <w:rsid w:val="00124E79"/>
    <w:rsid w:val="00131324"/>
    <w:rsid w:val="001351C2"/>
    <w:rsid w:val="001351F9"/>
    <w:rsid w:val="00136073"/>
    <w:rsid w:val="00140A81"/>
    <w:rsid w:val="00140D5C"/>
    <w:rsid w:val="00140DD2"/>
    <w:rsid w:val="00141F23"/>
    <w:rsid w:val="0014209E"/>
    <w:rsid w:val="001420CA"/>
    <w:rsid w:val="00151FA4"/>
    <w:rsid w:val="00152EDC"/>
    <w:rsid w:val="0015470B"/>
    <w:rsid w:val="00155132"/>
    <w:rsid w:val="0016777F"/>
    <w:rsid w:val="00171335"/>
    <w:rsid w:val="00171F00"/>
    <w:rsid w:val="00174BAC"/>
    <w:rsid w:val="00176CFC"/>
    <w:rsid w:val="00181364"/>
    <w:rsid w:val="00183502"/>
    <w:rsid w:val="00186A9A"/>
    <w:rsid w:val="001877E3"/>
    <w:rsid w:val="00187CB7"/>
    <w:rsid w:val="00187FA5"/>
    <w:rsid w:val="00191C77"/>
    <w:rsid w:val="00194F6C"/>
    <w:rsid w:val="00197D47"/>
    <w:rsid w:val="001A05E6"/>
    <w:rsid w:val="001A0E66"/>
    <w:rsid w:val="001A4425"/>
    <w:rsid w:val="001A47CA"/>
    <w:rsid w:val="001B045A"/>
    <w:rsid w:val="001B20AA"/>
    <w:rsid w:val="001B5C93"/>
    <w:rsid w:val="001C021F"/>
    <w:rsid w:val="001C055F"/>
    <w:rsid w:val="001C062E"/>
    <w:rsid w:val="001C1417"/>
    <w:rsid w:val="001C370F"/>
    <w:rsid w:val="001C393D"/>
    <w:rsid w:val="001C76DF"/>
    <w:rsid w:val="001C7FB7"/>
    <w:rsid w:val="001E4673"/>
    <w:rsid w:val="001E5C72"/>
    <w:rsid w:val="001E6107"/>
    <w:rsid w:val="001F34D0"/>
    <w:rsid w:val="001F4A2B"/>
    <w:rsid w:val="0020028B"/>
    <w:rsid w:val="0020096C"/>
    <w:rsid w:val="00204212"/>
    <w:rsid w:val="00211348"/>
    <w:rsid w:val="00212CDA"/>
    <w:rsid w:val="002157D4"/>
    <w:rsid w:val="002166DA"/>
    <w:rsid w:val="00220DE7"/>
    <w:rsid w:val="00225262"/>
    <w:rsid w:val="002261AF"/>
    <w:rsid w:val="0022713F"/>
    <w:rsid w:val="0022717C"/>
    <w:rsid w:val="00232C76"/>
    <w:rsid w:val="00232E70"/>
    <w:rsid w:val="00232EF9"/>
    <w:rsid w:val="00237397"/>
    <w:rsid w:val="002406DB"/>
    <w:rsid w:val="00241EB9"/>
    <w:rsid w:val="00246324"/>
    <w:rsid w:val="00246A4B"/>
    <w:rsid w:val="002528B1"/>
    <w:rsid w:val="002552A5"/>
    <w:rsid w:val="00256001"/>
    <w:rsid w:val="00257E7C"/>
    <w:rsid w:val="0026131D"/>
    <w:rsid w:val="0026260D"/>
    <w:rsid w:val="002637B1"/>
    <w:rsid w:val="00265E26"/>
    <w:rsid w:val="00276B1B"/>
    <w:rsid w:val="00277A24"/>
    <w:rsid w:val="00280257"/>
    <w:rsid w:val="00280FE1"/>
    <w:rsid w:val="00284178"/>
    <w:rsid w:val="00284636"/>
    <w:rsid w:val="00294000"/>
    <w:rsid w:val="002972C1"/>
    <w:rsid w:val="002A01AC"/>
    <w:rsid w:val="002A708B"/>
    <w:rsid w:val="002A7CCB"/>
    <w:rsid w:val="002B18D4"/>
    <w:rsid w:val="002B365D"/>
    <w:rsid w:val="002B5034"/>
    <w:rsid w:val="002B75DF"/>
    <w:rsid w:val="002C05ED"/>
    <w:rsid w:val="002C183E"/>
    <w:rsid w:val="002C4C58"/>
    <w:rsid w:val="002C5514"/>
    <w:rsid w:val="002C5567"/>
    <w:rsid w:val="002C5E64"/>
    <w:rsid w:val="002C7535"/>
    <w:rsid w:val="002D08AE"/>
    <w:rsid w:val="002D17FF"/>
    <w:rsid w:val="002D218C"/>
    <w:rsid w:val="002D27D3"/>
    <w:rsid w:val="002D2AC3"/>
    <w:rsid w:val="002D3306"/>
    <w:rsid w:val="002D4102"/>
    <w:rsid w:val="002D494D"/>
    <w:rsid w:val="002E0B5E"/>
    <w:rsid w:val="002E4697"/>
    <w:rsid w:val="002E700B"/>
    <w:rsid w:val="002E7389"/>
    <w:rsid w:val="002F09AB"/>
    <w:rsid w:val="002F17BC"/>
    <w:rsid w:val="002F1B56"/>
    <w:rsid w:val="002F1D0A"/>
    <w:rsid w:val="002F21B1"/>
    <w:rsid w:val="002F2CE8"/>
    <w:rsid w:val="002F6B10"/>
    <w:rsid w:val="002F6D15"/>
    <w:rsid w:val="00300643"/>
    <w:rsid w:val="003017E0"/>
    <w:rsid w:val="00301ED6"/>
    <w:rsid w:val="00312BFE"/>
    <w:rsid w:val="00313D37"/>
    <w:rsid w:val="00315F21"/>
    <w:rsid w:val="0032125A"/>
    <w:rsid w:val="0032171B"/>
    <w:rsid w:val="00322316"/>
    <w:rsid w:val="00322346"/>
    <w:rsid w:val="003238E3"/>
    <w:rsid w:val="00324064"/>
    <w:rsid w:val="00325634"/>
    <w:rsid w:val="00327E53"/>
    <w:rsid w:val="00327F6C"/>
    <w:rsid w:val="003307EC"/>
    <w:rsid w:val="00331853"/>
    <w:rsid w:val="00331BF1"/>
    <w:rsid w:val="00331CF4"/>
    <w:rsid w:val="00332A37"/>
    <w:rsid w:val="00334CB2"/>
    <w:rsid w:val="00337545"/>
    <w:rsid w:val="003405F5"/>
    <w:rsid w:val="00340935"/>
    <w:rsid w:val="00341C2F"/>
    <w:rsid w:val="00345A9F"/>
    <w:rsid w:val="003473C9"/>
    <w:rsid w:val="00347D8F"/>
    <w:rsid w:val="00350CCA"/>
    <w:rsid w:val="00354077"/>
    <w:rsid w:val="003541A1"/>
    <w:rsid w:val="00354C4E"/>
    <w:rsid w:val="003552C5"/>
    <w:rsid w:val="003574C9"/>
    <w:rsid w:val="0035754C"/>
    <w:rsid w:val="00357F9D"/>
    <w:rsid w:val="00360DCC"/>
    <w:rsid w:val="0036115C"/>
    <w:rsid w:val="003625BA"/>
    <w:rsid w:val="00363118"/>
    <w:rsid w:val="00363206"/>
    <w:rsid w:val="003666C7"/>
    <w:rsid w:val="00366BC4"/>
    <w:rsid w:val="00373724"/>
    <w:rsid w:val="00375F3D"/>
    <w:rsid w:val="0037674F"/>
    <w:rsid w:val="00376D07"/>
    <w:rsid w:val="00377212"/>
    <w:rsid w:val="00382C55"/>
    <w:rsid w:val="00385017"/>
    <w:rsid w:val="003867B5"/>
    <w:rsid w:val="003873A2"/>
    <w:rsid w:val="003948BD"/>
    <w:rsid w:val="003950F4"/>
    <w:rsid w:val="00395451"/>
    <w:rsid w:val="0039603B"/>
    <w:rsid w:val="00396F14"/>
    <w:rsid w:val="00396F99"/>
    <w:rsid w:val="003A08BA"/>
    <w:rsid w:val="003A08FD"/>
    <w:rsid w:val="003A0968"/>
    <w:rsid w:val="003A3490"/>
    <w:rsid w:val="003A3CAF"/>
    <w:rsid w:val="003A4045"/>
    <w:rsid w:val="003A4EE7"/>
    <w:rsid w:val="003A6AD1"/>
    <w:rsid w:val="003A7D61"/>
    <w:rsid w:val="003B036E"/>
    <w:rsid w:val="003B041D"/>
    <w:rsid w:val="003B521D"/>
    <w:rsid w:val="003B5D08"/>
    <w:rsid w:val="003B6867"/>
    <w:rsid w:val="003C090F"/>
    <w:rsid w:val="003C23BA"/>
    <w:rsid w:val="003C4BDA"/>
    <w:rsid w:val="003C773D"/>
    <w:rsid w:val="003C792B"/>
    <w:rsid w:val="003C7F02"/>
    <w:rsid w:val="003D0B72"/>
    <w:rsid w:val="003D4219"/>
    <w:rsid w:val="003D4923"/>
    <w:rsid w:val="003D500C"/>
    <w:rsid w:val="003D50B9"/>
    <w:rsid w:val="003D657E"/>
    <w:rsid w:val="003E62A8"/>
    <w:rsid w:val="003E7E40"/>
    <w:rsid w:val="003F1620"/>
    <w:rsid w:val="003F265A"/>
    <w:rsid w:val="003F4A35"/>
    <w:rsid w:val="003F5179"/>
    <w:rsid w:val="003F7D8B"/>
    <w:rsid w:val="003F7EEB"/>
    <w:rsid w:val="00420E38"/>
    <w:rsid w:val="00420F82"/>
    <w:rsid w:val="004216A4"/>
    <w:rsid w:val="00421983"/>
    <w:rsid w:val="004267DC"/>
    <w:rsid w:val="00427D3F"/>
    <w:rsid w:val="00430D2D"/>
    <w:rsid w:val="00431B8E"/>
    <w:rsid w:val="0043284A"/>
    <w:rsid w:val="00435369"/>
    <w:rsid w:val="00437C4E"/>
    <w:rsid w:val="00442131"/>
    <w:rsid w:val="0044266B"/>
    <w:rsid w:val="00444793"/>
    <w:rsid w:val="004539AF"/>
    <w:rsid w:val="00455454"/>
    <w:rsid w:val="00455CDC"/>
    <w:rsid w:val="00457E1F"/>
    <w:rsid w:val="004621C8"/>
    <w:rsid w:val="00464A4E"/>
    <w:rsid w:val="00467D18"/>
    <w:rsid w:val="0047314B"/>
    <w:rsid w:val="00475EFB"/>
    <w:rsid w:val="00476704"/>
    <w:rsid w:val="004860B6"/>
    <w:rsid w:val="004953A8"/>
    <w:rsid w:val="00496BA7"/>
    <w:rsid w:val="00497034"/>
    <w:rsid w:val="00497D6E"/>
    <w:rsid w:val="004A023F"/>
    <w:rsid w:val="004A07E7"/>
    <w:rsid w:val="004A79FA"/>
    <w:rsid w:val="004A7B30"/>
    <w:rsid w:val="004B18C2"/>
    <w:rsid w:val="004B1B72"/>
    <w:rsid w:val="004B3EA5"/>
    <w:rsid w:val="004B4785"/>
    <w:rsid w:val="004C2EA3"/>
    <w:rsid w:val="004C4CC5"/>
    <w:rsid w:val="004D3B57"/>
    <w:rsid w:val="004E12D9"/>
    <w:rsid w:val="004E17C9"/>
    <w:rsid w:val="004E3E1B"/>
    <w:rsid w:val="004E6646"/>
    <w:rsid w:val="004E6BFB"/>
    <w:rsid w:val="004E70EF"/>
    <w:rsid w:val="004E7ACC"/>
    <w:rsid w:val="004F07C2"/>
    <w:rsid w:val="00502861"/>
    <w:rsid w:val="005100E1"/>
    <w:rsid w:val="0051207D"/>
    <w:rsid w:val="00515923"/>
    <w:rsid w:val="00515CF2"/>
    <w:rsid w:val="00523E1C"/>
    <w:rsid w:val="00524CBB"/>
    <w:rsid w:val="00525626"/>
    <w:rsid w:val="0052647C"/>
    <w:rsid w:val="00527944"/>
    <w:rsid w:val="005339A5"/>
    <w:rsid w:val="00534356"/>
    <w:rsid w:val="00542DF4"/>
    <w:rsid w:val="0054371A"/>
    <w:rsid w:val="0054557E"/>
    <w:rsid w:val="00550D6E"/>
    <w:rsid w:val="00550E3B"/>
    <w:rsid w:val="00551864"/>
    <w:rsid w:val="00551AA8"/>
    <w:rsid w:val="00553372"/>
    <w:rsid w:val="00556038"/>
    <w:rsid w:val="00556466"/>
    <w:rsid w:val="00561309"/>
    <w:rsid w:val="00562370"/>
    <w:rsid w:val="0056704D"/>
    <w:rsid w:val="005718D2"/>
    <w:rsid w:val="00571FE0"/>
    <w:rsid w:val="0057220F"/>
    <w:rsid w:val="00576B7B"/>
    <w:rsid w:val="005821E3"/>
    <w:rsid w:val="005851FD"/>
    <w:rsid w:val="00586EBB"/>
    <w:rsid w:val="00590B49"/>
    <w:rsid w:val="0059343C"/>
    <w:rsid w:val="00594258"/>
    <w:rsid w:val="0059516A"/>
    <w:rsid w:val="005A332A"/>
    <w:rsid w:val="005A61C6"/>
    <w:rsid w:val="005A714B"/>
    <w:rsid w:val="005B1E25"/>
    <w:rsid w:val="005B2876"/>
    <w:rsid w:val="005B2C58"/>
    <w:rsid w:val="005B56FD"/>
    <w:rsid w:val="005B7CD6"/>
    <w:rsid w:val="005C1151"/>
    <w:rsid w:val="005C3062"/>
    <w:rsid w:val="005C3A7E"/>
    <w:rsid w:val="005C67C8"/>
    <w:rsid w:val="005C6FDA"/>
    <w:rsid w:val="005C7F7D"/>
    <w:rsid w:val="005D12AE"/>
    <w:rsid w:val="005D3CC5"/>
    <w:rsid w:val="005D3DAC"/>
    <w:rsid w:val="005D54CE"/>
    <w:rsid w:val="005D5B54"/>
    <w:rsid w:val="005D6D98"/>
    <w:rsid w:val="005E00D1"/>
    <w:rsid w:val="005E2176"/>
    <w:rsid w:val="005E4C46"/>
    <w:rsid w:val="005E5EA4"/>
    <w:rsid w:val="005E61AC"/>
    <w:rsid w:val="005F280F"/>
    <w:rsid w:val="005F6178"/>
    <w:rsid w:val="005F7533"/>
    <w:rsid w:val="006004C9"/>
    <w:rsid w:val="006006B1"/>
    <w:rsid w:val="00602F2D"/>
    <w:rsid w:val="0060462A"/>
    <w:rsid w:val="006046A5"/>
    <w:rsid w:val="00604E33"/>
    <w:rsid w:val="00605BFA"/>
    <w:rsid w:val="0060700C"/>
    <w:rsid w:val="00607984"/>
    <w:rsid w:val="00607987"/>
    <w:rsid w:val="00621BEC"/>
    <w:rsid w:val="006248C7"/>
    <w:rsid w:val="00626B92"/>
    <w:rsid w:val="00627E2E"/>
    <w:rsid w:val="00632342"/>
    <w:rsid w:val="00633151"/>
    <w:rsid w:val="00636327"/>
    <w:rsid w:val="0063670F"/>
    <w:rsid w:val="006403D6"/>
    <w:rsid w:val="00640843"/>
    <w:rsid w:val="006412B3"/>
    <w:rsid w:val="00643811"/>
    <w:rsid w:val="006501C4"/>
    <w:rsid w:val="006523FB"/>
    <w:rsid w:val="006526F3"/>
    <w:rsid w:val="00653938"/>
    <w:rsid w:val="00656E47"/>
    <w:rsid w:val="00662927"/>
    <w:rsid w:val="00663999"/>
    <w:rsid w:val="00663A86"/>
    <w:rsid w:val="0066736C"/>
    <w:rsid w:val="00667708"/>
    <w:rsid w:val="006718E8"/>
    <w:rsid w:val="006724BD"/>
    <w:rsid w:val="00674DEA"/>
    <w:rsid w:val="006759E7"/>
    <w:rsid w:val="006774CD"/>
    <w:rsid w:val="00682710"/>
    <w:rsid w:val="006828BB"/>
    <w:rsid w:val="006836E5"/>
    <w:rsid w:val="00684755"/>
    <w:rsid w:val="00687BAB"/>
    <w:rsid w:val="00692E8B"/>
    <w:rsid w:val="00693323"/>
    <w:rsid w:val="00695057"/>
    <w:rsid w:val="0069626E"/>
    <w:rsid w:val="00696812"/>
    <w:rsid w:val="00697AFF"/>
    <w:rsid w:val="00697D2B"/>
    <w:rsid w:val="006A02E8"/>
    <w:rsid w:val="006A0BAB"/>
    <w:rsid w:val="006A2DE9"/>
    <w:rsid w:val="006A40EB"/>
    <w:rsid w:val="006A6EE1"/>
    <w:rsid w:val="006A796D"/>
    <w:rsid w:val="006B089E"/>
    <w:rsid w:val="006B1CB9"/>
    <w:rsid w:val="006B34FF"/>
    <w:rsid w:val="006B6396"/>
    <w:rsid w:val="006B66FE"/>
    <w:rsid w:val="006C03E3"/>
    <w:rsid w:val="006C0BA0"/>
    <w:rsid w:val="006C11B7"/>
    <w:rsid w:val="006C28C8"/>
    <w:rsid w:val="006C3C8A"/>
    <w:rsid w:val="006C6763"/>
    <w:rsid w:val="006D0869"/>
    <w:rsid w:val="006D28E1"/>
    <w:rsid w:val="006D3EAD"/>
    <w:rsid w:val="006E0E05"/>
    <w:rsid w:val="006E195F"/>
    <w:rsid w:val="006E19B4"/>
    <w:rsid w:val="006E5A28"/>
    <w:rsid w:val="006E7724"/>
    <w:rsid w:val="006E772D"/>
    <w:rsid w:val="006F295D"/>
    <w:rsid w:val="006F4A90"/>
    <w:rsid w:val="006F5383"/>
    <w:rsid w:val="00700E27"/>
    <w:rsid w:val="007011BA"/>
    <w:rsid w:val="0070214B"/>
    <w:rsid w:val="0070261C"/>
    <w:rsid w:val="00707217"/>
    <w:rsid w:val="007075D8"/>
    <w:rsid w:val="007143E8"/>
    <w:rsid w:val="007145E7"/>
    <w:rsid w:val="00715D76"/>
    <w:rsid w:val="00720A44"/>
    <w:rsid w:val="0072108E"/>
    <w:rsid w:val="00723C96"/>
    <w:rsid w:val="00736599"/>
    <w:rsid w:val="00736A51"/>
    <w:rsid w:val="007376AB"/>
    <w:rsid w:val="00741771"/>
    <w:rsid w:val="00742110"/>
    <w:rsid w:val="00743235"/>
    <w:rsid w:val="007441AC"/>
    <w:rsid w:val="00756B3E"/>
    <w:rsid w:val="00757CE2"/>
    <w:rsid w:val="00760C00"/>
    <w:rsid w:val="00762B7F"/>
    <w:rsid w:val="007652EA"/>
    <w:rsid w:val="00765D0C"/>
    <w:rsid w:val="00773C2E"/>
    <w:rsid w:val="00776F26"/>
    <w:rsid w:val="00777CE3"/>
    <w:rsid w:val="00781409"/>
    <w:rsid w:val="007820C0"/>
    <w:rsid w:val="0078276A"/>
    <w:rsid w:val="00786FC3"/>
    <w:rsid w:val="007902B6"/>
    <w:rsid w:val="0079043C"/>
    <w:rsid w:val="00795BB8"/>
    <w:rsid w:val="0079717D"/>
    <w:rsid w:val="007A3715"/>
    <w:rsid w:val="007A3B92"/>
    <w:rsid w:val="007A42FB"/>
    <w:rsid w:val="007A492A"/>
    <w:rsid w:val="007A506B"/>
    <w:rsid w:val="007A51DD"/>
    <w:rsid w:val="007A7146"/>
    <w:rsid w:val="007A7DC9"/>
    <w:rsid w:val="007B16AD"/>
    <w:rsid w:val="007B5760"/>
    <w:rsid w:val="007C2C7B"/>
    <w:rsid w:val="007C57F7"/>
    <w:rsid w:val="007C598B"/>
    <w:rsid w:val="007C6739"/>
    <w:rsid w:val="007D2134"/>
    <w:rsid w:val="007D3A93"/>
    <w:rsid w:val="007E05D6"/>
    <w:rsid w:val="007E0D21"/>
    <w:rsid w:val="007E4712"/>
    <w:rsid w:val="007E4925"/>
    <w:rsid w:val="007E5DE9"/>
    <w:rsid w:val="007E6DDB"/>
    <w:rsid w:val="007E7DC6"/>
    <w:rsid w:val="007F2245"/>
    <w:rsid w:val="007F4A17"/>
    <w:rsid w:val="007F509E"/>
    <w:rsid w:val="007F7BBC"/>
    <w:rsid w:val="00801176"/>
    <w:rsid w:val="00802F75"/>
    <w:rsid w:val="008062C1"/>
    <w:rsid w:val="00806FE5"/>
    <w:rsid w:val="00807FB1"/>
    <w:rsid w:val="00810225"/>
    <w:rsid w:val="008126B0"/>
    <w:rsid w:val="00820E2E"/>
    <w:rsid w:val="00823C07"/>
    <w:rsid w:val="00825A9B"/>
    <w:rsid w:val="00826FDA"/>
    <w:rsid w:val="0083329E"/>
    <w:rsid w:val="00833531"/>
    <w:rsid w:val="00835335"/>
    <w:rsid w:val="00835B67"/>
    <w:rsid w:val="00837F38"/>
    <w:rsid w:val="00841202"/>
    <w:rsid w:val="008457E2"/>
    <w:rsid w:val="00845D9C"/>
    <w:rsid w:val="0084780F"/>
    <w:rsid w:val="00850BA5"/>
    <w:rsid w:val="0085117A"/>
    <w:rsid w:val="00851761"/>
    <w:rsid w:val="00851D00"/>
    <w:rsid w:val="008562D6"/>
    <w:rsid w:val="008562D8"/>
    <w:rsid w:val="008562E9"/>
    <w:rsid w:val="00857FB8"/>
    <w:rsid w:val="00860A9D"/>
    <w:rsid w:val="00862128"/>
    <w:rsid w:val="00863699"/>
    <w:rsid w:val="00865169"/>
    <w:rsid w:val="00871F41"/>
    <w:rsid w:val="00872AEF"/>
    <w:rsid w:val="00873E0E"/>
    <w:rsid w:val="00874B0B"/>
    <w:rsid w:val="0088146B"/>
    <w:rsid w:val="008819F1"/>
    <w:rsid w:val="00882FA2"/>
    <w:rsid w:val="00884392"/>
    <w:rsid w:val="00884F5A"/>
    <w:rsid w:val="00885F99"/>
    <w:rsid w:val="00886C22"/>
    <w:rsid w:val="008A1408"/>
    <w:rsid w:val="008A2A9A"/>
    <w:rsid w:val="008A56F8"/>
    <w:rsid w:val="008A593F"/>
    <w:rsid w:val="008A6E86"/>
    <w:rsid w:val="008B1B78"/>
    <w:rsid w:val="008B22AA"/>
    <w:rsid w:val="008B76A6"/>
    <w:rsid w:val="008C1653"/>
    <w:rsid w:val="008C2F0B"/>
    <w:rsid w:val="008D19BC"/>
    <w:rsid w:val="008D446A"/>
    <w:rsid w:val="008D4CDA"/>
    <w:rsid w:val="008D6E2B"/>
    <w:rsid w:val="008D779C"/>
    <w:rsid w:val="008E13AE"/>
    <w:rsid w:val="008E1DA4"/>
    <w:rsid w:val="008E2110"/>
    <w:rsid w:val="008E4A36"/>
    <w:rsid w:val="008E5801"/>
    <w:rsid w:val="008E5C33"/>
    <w:rsid w:val="008E5F92"/>
    <w:rsid w:val="008E7329"/>
    <w:rsid w:val="008E7AF6"/>
    <w:rsid w:val="008F018B"/>
    <w:rsid w:val="008F576E"/>
    <w:rsid w:val="008F65C9"/>
    <w:rsid w:val="008F79CD"/>
    <w:rsid w:val="00902E73"/>
    <w:rsid w:val="009042B1"/>
    <w:rsid w:val="00912662"/>
    <w:rsid w:val="0091368A"/>
    <w:rsid w:val="00913B08"/>
    <w:rsid w:val="00913FDC"/>
    <w:rsid w:val="00914CC8"/>
    <w:rsid w:val="009156C9"/>
    <w:rsid w:val="0092080A"/>
    <w:rsid w:val="00920AAC"/>
    <w:rsid w:val="00920D62"/>
    <w:rsid w:val="00922B2E"/>
    <w:rsid w:val="009239D9"/>
    <w:rsid w:val="00930428"/>
    <w:rsid w:val="00932018"/>
    <w:rsid w:val="00932646"/>
    <w:rsid w:val="00934048"/>
    <w:rsid w:val="00937785"/>
    <w:rsid w:val="009408F6"/>
    <w:rsid w:val="00942365"/>
    <w:rsid w:val="00944BD9"/>
    <w:rsid w:val="0094730D"/>
    <w:rsid w:val="00950ADA"/>
    <w:rsid w:val="00951F93"/>
    <w:rsid w:val="00953D71"/>
    <w:rsid w:val="00953E1E"/>
    <w:rsid w:val="00955B98"/>
    <w:rsid w:val="0095728E"/>
    <w:rsid w:val="00966561"/>
    <w:rsid w:val="009670AA"/>
    <w:rsid w:val="009679AE"/>
    <w:rsid w:val="0097001E"/>
    <w:rsid w:val="009800C9"/>
    <w:rsid w:val="0098127E"/>
    <w:rsid w:val="00981CCC"/>
    <w:rsid w:val="009854BB"/>
    <w:rsid w:val="009873E4"/>
    <w:rsid w:val="009903D2"/>
    <w:rsid w:val="00990801"/>
    <w:rsid w:val="009A1CE7"/>
    <w:rsid w:val="009A305C"/>
    <w:rsid w:val="009A322B"/>
    <w:rsid w:val="009A62CC"/>
    <w:rsid w:val="009B2637"/>
    <w:rsid w:val="009C0CB8"/>
    <w:rsid w:val="009C4853"/>
    <w:rsid w:val="009C6646"/>
    <w:rsid w:val="009E1051"/>
    <w:rsid w:val="009E2354"/>
    <w:rsid w:val="009E5710"/>
    <w:rsid w:val="009F027A"/>
    <w:rsid w:val="009F031C"/>
    <w:rsid w:val="009F0EDB"/>
    <w:rsid w:val="009F362B"/>
    <w:rsid w:val="009F390A"/>
    <w:rsid w:val="009F3E34"/>
    <w:rsid w:val="009F5570"/>
    <w:rsid w:val="009F59C0"/>
    <w:rsid w:val="009F5E2D"/>
    <w:rsid w:val="009F6D61"/>
    <w:rsid w:val="00A01D21"/>
    <w:rsid w:val="00A1018F"/>
    <w:rsid w:val="00A1322A"/>
    <w:rsid w:val="00A1423F"/>
    <w:rsid w:val="00A14C77"/>
    <w:rsid w:val="00A16B32"/>
    <w:rsid w:val="00A17B65"/>
    <w:rsid w:val="00A2264D"/>
    <w:rsid w:val="00A22A00"/>
    <w:rsid w:val="00A271FF"/>
    <w:rsid w:val="00A313C9"/>
    <w:rsid w:val="00A314BB"/>
    <w:rsid w:val="00A317D0"/>
    <w:rsid w:val="00A3381C"/>
    <w:rsid w:val="00A34030"/>
    <w:rsid w:val="00A41C97"/>
    <w:rsid w:val="00A4244A"/>
    <w:rsid w:val="00A429F2"/>
    <w:rsid w:val="00A4736F"/>
    <w:rsid w:val="00A5165A"/>
    <w:rsid w:val="00A5367F"/>
    <w:rsid w:val="00A54259"/>
    <w:rsid w:val="00A56725"/>
    <w:rsid w:val="00A6293E"/>
    <w:rsid w:val="00A643C1"/>
    <w:rsid w:val="00A653A2"/>
    <w:rsid w:val="00A6671E"/>
    <w:rsid w:val="00A702CE"/>
    <w:rsid w:val="00A720B8"/>
    <w:rsid w:val="00A72CB4"/>
    <w:rsid w:val="00A74154"/>
    <w:rsid w:val="00A779A7"/>
    <w:rsid w:val="00A8130E"/>
    <w:rsid w:val="00A84717"/>
    <w:rsid w:val="00A863E5"/>
    <w:rsid w:val="00A86433"/>
    <w:rsid w:val="00A90FA8"/>
    <w:rsid w:val="00A934DD"/>
    <w:rsid w:val="00A93F53"/>
    <w:rsid w:val="00A94D6C"/>
    <w:rsid w:val="00A96C21"/>
    <w:rsid w:val="00AA068C"/>
    <w:rsid w:val="00AA0F30"/>
    <w:rsid w:val="00AA7014"/>
    <w:rsid w:val="00AA7C50"/>
    <w:rsid w:val="00AB1D6A"/>
    <w:rsid w:val="00AB1DA3"/>
    <w:rsid w:val="00AB4632"/>
    <w:rsid w:val="00AB577A"/>
    <w:rsid w:val="00AC16EB"/>
    <w:rsid w:val="00AC22D9"/>
    <w:rsid w:val="00AC3274"/>
    <w:rsid w:val="00AC4262"/>
    <w:rsid w:val="00AC4AFF"/>
    <w:rsid w:val="00AC59BE"/>
    <w:rsid w:val="00AC6555"/>
    <w:rsid w:val="00AC6FBA"/>
    <w:rsid w:val="00AD45BD"/>
    <w:rsid w:val="00AD47D7"/>
    <w:rsid w:val="00AD4BF2"/>
    <w:rsid w:val="00AD5D49"/>
    <w:rsid w:val="00AD71EF"/>
    <w:rsid w:val="00AD7508"/>
    <w:rsid w:val="00AD7C31"/>
    <w:rsid w:val="00AE16D3"/>
    <w:rsid w:val="00AE3987"/>
    <w:rsid w:val="00AE5D60"/>
    <w:rsid w:val="00AE6AB2"/>
    <w:rsid w:val="00AE7BB9"/>
    <w:rsid w:val="00AF1600"/>
    <w:rsid w:val="00AF1F2C"/>
    <w:rsid w:val="00AF2C06"/>
    <w:rsid w:val="00AF5064"/>
    <w:rsid w:val="00AF6468"/>
    <w:rsid w:val="00AF7088"/>
    <w:rsid w:val="00AF7CE0"/>
    <w:rsid w:val="00B05AB5"/>
    <w:rsid w:val="00B07CA4"/>
    <w:rsid w:val="00B10DB1"/>
    <w:rsid w:val="00B114A8"/>
    <w:rsid w:val="00B11F28"/>
    <w:rsid w:val="00B127AB"/>
    <w:rsid w:val="00B132C7"/>
    <w:rsid w:val="00B13599"/>
    <w:rsid w:val="00B21FE6"/>
    <w:rsid w:val="00B24C95"/>
    <w:rsid w:val="00B25483"/>
    <w:rsid w:val="00B25B60"/>
    <w:rsid w:val="00B25F78"/>
    <w:rsid w:val="00B314B6"/>
    <w:rsid w:val="00B33DDD"/>
    <w:rsid w:val="00B36460"/>
    <w:rsid w:val="00B42F2A"/>
    <w:rsid w:val="00B43032"/>
    <w:rsid w:val="00B430AD"/>
    <w:rsid w:val="00B43FEB"/>
    <w:rsid w:val="00B45D08"/>
    <w:rsid w:val="00B46E53"/>
    <w:rsid w:val="00B57BD7"/>
    <w:rsid w:val="00B61117"/>
    <w:rsid w:val="00B62458"/>
    <w:rsid w:val="00B730E9"/>
    <w:rsid w:val="00B81733"/>
    <w:rsid w:val="00B837C9"/>
    <w:rsid w:val="00B83C30"/>
    <w:rsid w:val="00B84296"/>
    <w:rsid w:val="00B8464B"/>
    <w:rsid w:val="00B8497D"/>
    <w:rsid w:val="00B84C3E"/>
    <w:rsid w:val="00B85B9D"/>
    <w:rsid w:val="00B869AE"/>
    <w:rsid w:val="00B86AFE"/>
    <w:rsid w:val="00B90B18"/>
    <w:rsid w:val="00B90FDD"/>
    <w:rsid w:val="00B97637"/>
    <w:rsid w:val="00B97885"/>
    <w:rsid w:val="00BA1766"/>
    <w:rsid w:val="00BA1E32"/>
    <w:rsid w:val="00BA2CD8"/>
    <w:rsid w:val="00BA5B10"/>
    <w:rsid w:val="00BB0BA9"/>
    <w:rsid w:val="00BB5588"/>
    <w:rsid w:val="00BB7145"/>
    <w:rsid w:val="00BC0722"/>
    <w:rsid w:val="00BC31C2"/>
    <w:rsid w:val="00BC754E"/>
    <w:rsid w:val="00BD1F36"/>
    <w:rsid w:val="00BD2718"/>
    <w:rsid w:val="00BD2B0D"/>
    <w:rsid w:val="00BD5B93"/>
    <w:rsid w:val="00BD7153"/>
    <w:rsid w:val="00BE0E06"/>
    <w:rsid w:val="00BE17C2"/>
    <w:rsid w:val="00BE21B7"/>
    <w:rsid w:val="00BE348F"/>
    <w:rsid w:val="00BE4C63"/>
    <w:rsid w:val="00BE5BE3"/>
    <w:rsid w:val="00BE6815"/>
    <w:rsid w:val="00BF0B41"/>
    <w:rsid w:val="00BF3303"/>
    <w:rsid w:val="00BF5F76"/>
    <w:rsid w:val="00BF6A36"/>
    <w:rsid w:val="00C02220"/>
    <w:rsid w:val="00C055A6"/>
    <w:rsid w:val="00C07F07"/>
    <w:rsid w:val="00C102BB"/>
    <w:rsid w:val="00C108DD"/>
    <w:rsid w:val="00C109B4"/>
    <w:rsid w:val="00C137B4"/>
    <w:rsid w:val="00C211D9"/>
    <w:rsid w:val="00C23EED"/>
    <w:rsid w:val="00C24083"/>
    <w:rsid w:val="00C2475B"/>
    <w:rsid w:val="00C26467"/>
    <w:rsid w:val="00C311EC"/>
    <w:rsid w:val="00C3628F"/>
    <w:rsid w:val="00C36BA8"/>
    <w:rsid w:val="00C374C8"/>
    <w:rsid w:val="00C40915"/>
    <w:rsid w:val="00C42582"/>
    <w:rsid w:val="00C45D99"/>
    <w:rsid w:val="00C479BE"/>
    <w:rsid w:val="00C53364"/>
    <w:rsid w:val="00C573E8"/>
    <w:rsid w:val="00C63EF3"/>
    <w:rsid w:val="00C63F03"/>
    <w:rsid w:val="00C64AE5"/>
    <w:rsid w:val="00C655E4"/>
    <w:rsid w:val="00C667B8"/>
    <w:rsid w:val="00C73F87"/>
    <w:rsid w:val="00C7654C"/>
    <w:rsid w:val="00C85A78"/>
    <w:rsid w:val="00C9023F"/>
    <w:rsid w:val="00C903AD"/>
    <w:rsid w:val="00C91DAD"/>
    <w:rsid w:val="00C9228B"/>
    <w:rsid w:val="00C926D1"/>
    <w:rsid w:val="00C94000"/>
    <w:rsid w:val="00C94759"/>
    <w:rsid w:val="00C960F0"/>
    <w:rsid w:val="00C973FC"/>
    <w:rsid w:val="00C97A86"/>
    <w:rsid w:val="00CA28E4"/>
    <w:rsid w:val="00CA6A3C"/>
    <w:rsid w:val="00CB1CEE"/>
    <w:rsid w:val="00CB2607"/>
    <w:rsid w:val="00CB2C8D"/>
    <w:rsid w:val="00CB7B68"/>
    <w:rsid w:val="00CC08D8"/>
    <w:rsid w:val="00CC15A4"/>
    <w:rsid w:val="00CC18C2"/>
    <w:rsid w:val="00CC2381"/>
    <w:rsid w:val="00CC4036"/>
    <w:rsid w:val="00CC56E1"/>
    <w:rsid w:val="00CC6EFF"/>
    <w:rsid w:val="00CD6D8C"/>
    <w:rsid w:val="00CD72C7"/>
    <w:rsid w:val="00CE0448"/>
    <w:rsid w:val="00CE76BA"/>
    <w:rsid w:val="00CF059F"/>
    <w:rsid w:val="00CF0C2B"/>
    <w:rsid w:val="00CF20A6"/>
    <w:rsid w:val="00CF585C"/>
    <w:rsid w:val="00CF6B06"/>
    <w:rsid w:val="00D015CB"/>
    <w:rsid w:val="00D034E2"/>
    <w:rsid w:val="00D07B51"/>
    <w:rsid w:val="00D1163F"/>
    <w:rsid w:val="00D15971"/>
    <w:rsid w:val="00D17041"/>
    <w:rsid w:val="00D17624"/>
    <w:rsid w:val="00D21AFA"/>
    <w:rsid w:val="00D247EF"/>
    <w:rsid w:val="00D2717A"/>
    <w:rsid w:val="00D272F2"/>
    <w:rsid w:val="00D36C4F"/>
    <w:rsid w:val="00D37566"/>
    <w:rsid w:val="00D375E7"/>
    <w:rsid w:val="00D44EC4"/>
    <w:rsid w:val="00D47670"/>
    <w:rsid w:val="00D50CBB"/>
    <w:rsid w:val="00D51363"/>
    <w:rsid w:val="00D5144B"/>
    <w:rsid w:val="00D51BF7"/>
    <w:rsid w:val="00D5282D"/>
    <w:rsid w:val="00D53565"/>
    <w:rsid w:val="00D5789D"/>
    <w:rsid w:val="00D60CD6"/>
    <w:rsid w:val="00D61DC0"/>
    <w:rsid w:val="00D628B5"/>
    <w:rsid w:val="00D62F46"/>
    <w:rsid w:val="00D63FA9"/>
    <w:rsid w:val="00D661EC"/>
    <w:rsid w:val="00D67388"/>
    <w:rsid w:val="00D67479"/>
    <w:rsid w:val="00D67DF7"/>
    <w:rsid w:val="00D70FD9"/>
    <w:rsid w:val="00D71A55"/>
    <w:rsid w:val="00D72774"/>
    <w:rsid w:val="00D80477"/>
    <w:rsid w:val="00D80BF3"/>
    <w:rsid w:val="00D82AE2"/>
    <w:rsid w:val="00D841C1"/>
    <w:rsid w:val="00D842B5"/>
    <w:rsid w:val="00D9497A"/>
    <w:rsid w:val="00D94EC2"/>
    <w:rsid w:val="00D956B2"/>
    <w:rsid w:val="00DA16CD"/>
    <w:rsid w:val="00DA38F5"/>
    <w:rsid w:val="00DA6E7C"/>
    <w:rsid w:val="00DB12C3"/>
    <w:rsid w:val="00DB244D"/>
    <w:rsid w:val="00DB247F"/>
    <w:rsid w:val="00DB2EE2"/>
    <w:rsid w:val="00DB5BA7"/>
    <w:rsid w:val="00DB6D60"/>
    <w:rsid w:val="00DB751C"/>
    <w:rsid w:val="00DC0558"/>
    <w:rsid w:val="00DC1A11"/>
    <w:rsid w:val="00DC2042"/>
    <w:rsid w:val="00DC31F3"/>
    <w:rsid w:val="00DC491D"/>
    <w:rsid w:val="00DD04D6"/>
    <w:rsid w:val="00DD1E92"/>
    <w:rsid w:val="00DD2E5B"/>
    <w:rsid w:val="00DD3560"/>
    <w:rsid w:val="00DD375C"/>
    <w:rsid w:val="00DD4E31"/>
    <w:rsid w:val="00DD507D"/>
    <w:rsid w:val="00DE0D92"/>
    <w:rsid w:val="00DE5111"/>
    <w:rsid w:val="00DE6798"/>
    <w:rsid w:val="00DF0535"/>
    <w:rsid w:val="00DF1F8C"/>
    <w:rsid w:val="00DF380A"/>
    <w:rsid w:val="00DF4769"/>
    <w:rsid w:val="00DF5F4D"/>
    <w:rsid w:val="00DF715A"/>
    <w:rsid w:val="00DF7A09"/>
    <w:rsid w:val="00DF7C36"/>
    <w:rsid w:val="00E0302B"/>
    <w:rsid w:val="00E04AB6"/>
    <w:rsid w:val="00E06787"/>
    <w:rsid w:val="00E0679F"/>
    <w:rsid w:val="00E069CD"/>
    <w:rsid w:val="00E11F57"/>
    <w:rsid w:val="00E13A91"/>
    <w:rsid w:val="00E1471F"/>
    <w:rsid w:val="00E15ED8"/>
    <w:rsid w:val="00E17A25"/>
    <w:rsid w:val="00E200B6"/>
    <w:rsid w:val="00E202F9"/>
    <w:rsid w:val="00E2091A"/>
    <w:rsid w:val="00E23EC6"/>
    <w:rsid w:val="00E25A9D"/>
    <w:rsid w:val="00E25B1F"/>
    <w:rsid w:val="00E27C37"/>
    <w:rsid w:val="00E33772"/>
    <w:rsid w:val="00E3477F"/>
    <w:rsid w:val="00E34A05"/>
    <w:rsid w:val="00E35CEF"/>
    <w:rsid w:val="00E40261"/>
    <w:rsid w:val="00E41FD6"/>
    <w:rsid w:val="00E422C0"/>
    <w:rsid w:val="00E42ACA"/>
    <w:rsid w:val="00E46453"/>
    <w:rsid w:val="00E46631"/>
    <w:rsid w:val="00E46803"/>
    <w:rsid w:val="00E53980"/>
    <w:rsid w:val="00E54CC0"/>
    <w:rsid w:val="00E56162"/>
    <w:rsid w:val="00E57954"/>
    <w:rsid w:val="00E61D00"/>
    <w:rsid w:val="00E67C87"/>
    <w:rsid w:val="00E70B7A"/>
    <w:rsid w:val="00E72076"/>
    <w:rsid w:val="00E72390"/>
    <w:rsid w:val="00E725F2"/>
    <w:rsid w:val="00E73439"/>
    <w:rsid w:val="00E7402D"/>
    <w:rsid w:val="00E74EFA"/>
    <w:rsid w:val="00E750D3"/>
    <w:rsid w:val="00E75EF8"/>
    <w:rsid w:val="00E82380"/>
    <w:rsid w:val="00E836ED"/>
    <w:rsid w:val="00E91657"/>
    <w:rsid w:val="00E933D5"/>
    <w:rsid w:val="00E93A79"/>
    <w:rsid w:val="00E94382"/>
    <w:rsid w:val="00E95B1A"/>
    <w:rsid w:val="00E95E38"/>
    <w:rsid w:val="00E97EEB"/>
    <w:rsid w:val="00EA093D"/>
    <w:rsid w:val="00EA4D00"/>
    <w:rsid w:val="00EA4FD0"/>
    <w:rsid w:val="00EA71D9"/>
    <w:rsid w:val="00EB057C"/>
    <w:rsid w:val="00EB073F"/>
    <w:rsid w:val="00EB0E33"/>
    <w:rsid w:val="00EB33EB"/>
    <w:rsid w:val="00EB58AB"/>
    <w:rsid w:val="00EB78B2"/>
    <w:rsid w:val="00EC2E37"/>
    <w:rsid w:val="00EC3229"/>
    <w:rsid w:val="00EC3B9A"/>
    <w:rsid w:val="00EC4461"/>
    <w:rsid w:val="00EC505E"/>
    <w:rsid w:val="00ED0493"/>
    <w:rsid w:val="00ED42D6"/>
    <w:rsid w:val="00ED4AF5"/>
    <w:rsid w:val="00ED6C62"/>
    <w:rsid w:val="00ED7F2B"/>
    <w:rsid w:val="00EE0D07"/>
    <w:rsid w:val="00EE1B91"/>
    <w:rsid w:val="00EE30E6"/>
    <w:rsid w:val="00EE52E9"/>
    <w:rsid w:val="00EE5E97"/>
    <w:rsid w:val="00EF2815"/>
    <w:rsid w:val="00EF36FA"/>
    <w:rsid w:val="00EF3AE2"/>
    <w:rsid w:val="00EF4080"/>
    <w:rsid w:val="00EF6A45"/>
    <w:rsid w:val="00F00C7F"/>
    <w:rsid w:val="00F01D1F"/>
    <w:rsid w:val="00F02EB8"/>
    <w:rsid w:val="00F063BC"/>
    <w:rsid w:val="00F06BDB"/>
    <w:rsid w:val="00F10330"/>
    <w:rsid w:val="00F10994"/>
    <w:rsid w:val="00F1398C"/>
    <w:rsid w:val="00F1649C"/>
    <w:rsid w:val="00F16A15"/>
    <w:rsid w:val="00F22DA5"/>
    <w:rsid w:val="00F24CBE"/>
    <w:rsid w:val="00F255C1"/>
    <w:rsid w:val="00F25895"/>
    <w:rsid w:val="00F25B4D"/>
    <w:rsid w:val="00F27880"/>
    <w:rsid w:val="00F32023"/>
    <w:rsid w:val="00F3446B"/>
    <w:rsid w:val="00F34BAC"/>
    <w:rsid w:val="00F3669E"/>
    <w:rsid w:val="00F36A13"/>
    <w:rsid w:val="00F36C5A"/>
    <w:rsid w:val="00F37E62"/>
    <w:rsid w:val="00F47086"/>
    <w:rsid w:val="00F51270"/>
    <w:rsid w:val="00F5320E"/>
    <w:rsid w:val="00F57241"/>
    <w:rsid w:val="00F604F5"/>
    <w:rsid w:val="00F65AD7"/>
    <w:rsid w:val="00F66072"/>
    <w:rsid w:val="00F661B5"/>
    <w:rsid w:val="00F664D7"/>
    <w:rsid w:val="00F66C0A"/>
    <w:rsid w:val="00F67F7D"/>
    <w:rsid w:val="00F720BE"/>
    <w:rsid w:val="00F73D62"/>
    <w:rsid w:val="00F81DC1"/>
    <w:rsid w:val="00F824A2"/>
    <w:rsid w:val="00F845FC"/>
    <w:rsid w:val="00F857C7"/>
    <w:rsid w:val="00F865DB"/>
    <w:rsid w:val="00F86C51"/>
    <w:rsid w:val="00F90339"/>
    <w:rsid w:val="00F925F6"/>
    <w:rsid w:val="00F92914"/>
    <w:rsid w:val="00F955FE"/>
    <w:rsid w:val="00FA42C9"/>
    <w:rsid w:val="00FA51EA"/>
    <w:rsid w:val="00FA70DB"/>
    <w:rsid w:val="00FB326E"/>
    <w:rsid w:val="00FB4A89"/>
    <w:rsid w:val="00FB4E0F"/>
    <w:rsid w:val="00FB610F"/>
    <w:rsid w:val="00FC5144"/>
    <w:rsid w:val="00FC6C1C"/>
    <w:rsid w:val="00FC6F64"/>
    <w:rsid w:val="00FC711C"/>
    <w:rsid w:val="00FD1B13"/>
    <w:rsid w:val="00FD2A3C"/>
    <w:rsid w:val="00FD3DC9"/>
    <w:rsid w:val="00FD3F6F"/>
    <w:rsid w:val="00FD406F"/>
    <w:rsid w:val="00FD4664"/>
    <w:rsid w:val="00FD4B69"/>
    <w:rsid w:val="00FD4BB6"/>
    <w:rsid w:val="00FD5EF4"/>
    <w:rsid w:val="00FD7C7E"/>
    <w:rsid w:val="00FE1368"/>
    <w:rsid w:val="00FE171C"/>
    <w:rsid w:val="00FE202D"/>
    <w:rsid w:val="00FE4B4A"/>
    <w:rsid w:val="00FF0EB5"/>
    <w:rsid w:val="00FF1F82"/>
    <w:rsid w:val="00FF499C"/>
    <w:rsid w:val="00FF6904"/>
    <w:rsid w:val="02CC6420"/>
    <w:rsid w:val="05802F92"/>
    <w:rsid w:val="0759783F"/>
    <w:rsid w:val="07A858B7"/>
    <w:rsid w:val="083321D8"/>
    <w:rsid w:val="0A9F39ED"/>
    <w:rsid w:val="0BB0283D"/>
    <w:rsid w:val="0F8C7D6A"/>
    <w:rsid w:val="13FE185B"/>
    <w:rsid w:val="15FC7B08"/>
    <w:rsid w:val="19757232"/>
    <w:rsid w:val="1B1C0A2B"/>
    <w:rsid w:val="1B366B66"/>
    <w:rsid w:val="1E656992"/>
    <w:rsid w:val="21C42573"/>
    <w:rsid w:val="223728B2"/>
    <w:rsid w:val="23AB0AAB"/>
    <w:rsid w:val="26770700"/>
    <w:rsid w:val="2ABA0F7A"/>
    <w:rsid w:val="306029A6"/>
    <w:rsid w:val="31990970"/>
    <w:rsid w:val="39355DE8"/>
    <w:rsid w:val="3966CE54"/>
    <w:rsid w:val="39B7606C"/>
    <w:rsid w:val="3B8031A9"/>
    <w:rsid w:val="3DD34EFD"/>
    <w:rsid w:val="40174790"/>
    <w:rsid w:val="4052221F"/>
    <w:rsid w:val="4C473DEA"/>
    <w:rsid w:val="526E6159"/>
    <w:rsid w:val="54885593"/>
    <w:rsid w:val="57AF71CE"/>
    <w:rsid w:val="57D85A03"/>
    <w:rsid w:val="59364E1B"/>
    <w:rsid w:val="5B345D4E"/>
    <w:rsid w:val="5C2D3771"/>
    <w:rsid w:val="622E231F"/>
    <w:rsid w:val="62846820"/>
    <w:rsid w:val="634C70AD"/>
    <w:rsid w:val="656E0D6A"/>
    <w:rsid w:val="665B2878"/>
    <w:rsid w:val="681D29BB"/>
    <w:rsid w:val="6B640FF8"/>
    <w:rsid w:val="6D155935"/>
    <w:rsid w:val="6DB9481D"/>
    <w:rsid w:val="703912F7"/>
    <w:rsid w:val="73E44F2E"/>
    <w:rsid w:val="76070F75"/>
    <w:rsid w:val="797C4870"/>
    <w:rsid w:val="799F5BAF"/>
    <w:rsid w:val="7A5D41A2"/>
    <w:rsid w:val="7F7FDAD3"/>
    <w:rsid w:val="BB7E8BB7"/>
    <w:rsid w:val="DFFEAD19"/>
    <w:rsid w:val="FCADB953"/>
    <w:rsid w:val="FCDE13A7"/>
    <w:rsid w:val="FF7F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Times New Roman" w:eastAsia="仿宋_GB2312" w:cs="黑体"/>
      <w:kern w:val="2"/>
      <w:sz w:val="3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0"/>
    <w:pPr>
      <w:keepNext/>
      <w:keepLines/>
      <w:spacing w:before="260" w:after="260"/>
      <w:outlineLvl w:val="1"/>
    </w:pPr>
    <w:rPr>
      <w:rFonts w:ascii="Calibri Light" w:hAnsi="Calibri Light" w:eastAsia="黑体"/>
      <w:b/>
      <w:bCs/>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0"/>
      <w:szCs w:val="32"/>
    </w:rPr>
  </w:style>
  <w:style w:type="character" w:default="1" w:styleId="18">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40"/>
    <w:uiPriority w:val="0"/>
    <w:pPr>
      <w:jc w:val="left"/>
    </w:pPr>
  </w:style>
  <w:style w:type="paragraph" w:styleId="6">
    <w:name w:val="Body Text"/>
    <w:basedOn w:val="1"/>
    <w:next w:val="1"/>
    <w:link w:val="44"/>
    <w:unhideWhenUsed/>
    <w:qFormat/>
    <w:uiPriority w:val="99"/>
    <w:pPr>
      <w:ind w:firstLine="0" w:firstLineChars="0"/>
    </w:pPr>
    <w:rPr>
      <w:rFonts w:cs="Times New Roman"/>
      <w:szCs w:val="20"/>
    </w:rPr>
  </w:style>
  <w:style w:type="paragraph" w:styleId="7">
    <w:name w:val="toc 3"/>
    <w:basedOn w:val="1"/>
    <w:next w:val="1"/>
    <w:unhideWhenUsed/>
    <w:qFormat/>
    <w:uiPriority w:val="39"/>
    <w:pPr>
      <w:ind w:left="840" w:leftChars="400"/>
    </w:pPr>
  </w:style>
  <w:style w:type="paragraph" w:styleId="8">
    <w:name w:val="Balloon Text"/>
    <w:basedOn w:val="1"/>
    <w:link w:val="34"/>
    <w:qFormat/>
    <w:uiPriority w:val="0"/>
    <w:rPr>
      <w:rFonts w:ascii="宋体" w:eastAsia="宋体"/>
      <w:sz w:val="18"/>
      <w:szCs w:val="18"/>
    </w:rPr>
  </w:style>
  <w:style w:type="paragraph" w:styleId="9">
    <w:name w:val="footer"/>
    <w:basedOn w:val="1"/>
    <w:link w:val="36"/>
    <w:qFormat/>
    <w:uiPriority w:val="99"/>
    <w:pPr>
      <w:tabs>
        <w:tab w:val="center" w:pos="4153"/>
        <w:tab w:val="right" w:pos="8306"/>
      </w:tabs>
      <w:snapToGrid w:val="0"/>
      <w:jc w:val="left"/>
    </w:pPr>
    <w:rPr>
      <w:sz w:val="18"/>
      <w:szCs w:val="18"/>
    </w:rPr>
  </w:style>
  <w:style w:type="paragraph" w:styleId="10">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HTML Preformatted"/>
    <w:basedOn w:val="1"/>
    <w:link w:val="42"/>
    <w:uiPriority w:val="0"/>
    <w:rPr>
      <w:rFonts w:ascii="Courier New" w:hAnsi="Courier New" w:cs="Courier New"/>
      <w:sz w:val="20"/>
      <w:szCs w:val="20"/>
    </w:rPr>
  </w:style>
  <w:style w:type="paragraph" w:styleId="14">
    <w:name w:val="Normal (Web)"/>
    <w:basedOn w:val="1"/>
    <w:unhideWhenUsed/>
    <w:uiPriority w:val="99"/>
    <w:pPr>
      <w:spacing w:before="100" w:beforeAutospacing="1" w:after="100" w:afterAutospacing="1"/>
      <w:ind w:firstLine="0" w:firstLineChars="0"/>
      <w:jc w:val="left"/>
    </w:pPr>
    <w:rPr>
      <w:rFonts w:eastAsia="宋体" w:cs="Times New Roman"/>
      <w:kern w:val="0"/>
      <w:sz w:val="24"/>
      <w:szCs w:val="20"/>
    </w:rPr>
  </w:style>
  <w:style w:type="paragraph" w:styleId="15">
    <w:name w:val="Title"/>
    <w:basedOn w:val="1"/>
    <w:next w:val="1"/>
    <w:link w:val="37"/>
    <w:qFormat/>
    <w:uiPriority w:val="0"/>
    <w:pPr>
      <w:spacing w:before="240" w:after="60"/>
      <w:ind w:firstLine="0" w:firstLineChars="0"/>
      <w:jc w:val="center"/>
      <w:outlineLvl w:val="0"/>
    </w:pPr>
    <w:rPr>
      <w:rFonts w:ascii="Calibri Light" w:hAnsi="Calibri Light" w:eastAsia="黑体"/>
      <w:b/>
      <w:bCs/>
      <w:sz w:val="44"/>
      <w:szCs w:val="32"/>
    </w:rPr>
  </w:style>
  <w:style w:type="paragraph" w:styleId="16">
    <w:name w:val="annotation subject"/>
    <w:basedOn w:val="5"/>
    <w:next w:val="5"/>
    <w:link w:val="41"/>
    <w:uiPriority w:val="0"/>
    <w:rPr>
      <w:b/>
      <w:bCs/>
    </w:rPr>
  </w:style>
  <w:style w:type="character" w:styleId="19">
    <w:name w:val="Emphasis"/>
    <w:basedOn w:val="18"/>
    <w:qFormat/>
    <w:uiPriority w:val="20"/>
    <w:rPr>
      <w:i/>
      <w:iCs/>
    </w:rPr>
  </w:style>
  <w:style w:type="character" w:styleId="20">
    <w:name w:val="Hyperlink"/>
    <w:basedOn w:val="18"/>
    <w:unhideWhenUsed/>
    <w:qFormat/>
    <w:uiPriority w:val="99"/>
    <w:rPr>
      <w:color w:val="0000FF"/>
      <w:u w:val="single"/>
    </w:rPr>
  </w:style>
  <w:style w:type="character" w:styleId="21">
    <w:name w:val="annotation reference"/>
    <w:basedOn w:val="18"/>
    <w:uiPriority w:val="0"/>
    <w:rPr>
      <w:sz w:val="21"/>
      <w:szCs w:val="21"/>
    </w:rPr>
  </w:style>
  <w:style w:type="paragraph" w:customStyle="1" w:styleId="22">
    <w:name w:val="TOC 标题1"/>
    <w:basedOn w:val="2"/>
    <w:next w:val="1"/>
    <w:unhideWhenUsed/>
    <w:qFormat/>
    <w:uiPriority w:val="39"/>
    <w:pPr>
      <w:widowControl/>
      <w:spacing w:before="240" w:after="0" w:line="259" w:lineRule="auto"/>
      <w:jc w:val="left"/>
      <w:outlineLvl w:val="9"/>
    </w:pPr>
    <w:rPr>
      <w:rFonts w:ascii="Calibri Light" w:hAnsi="Calibri Light" w:eastAsia="宋体"/>
      <w:b w:val="0"/>
      <w:bCs w:val="0"/>
      <w:color w:val="2D73B3"/>
      <w:kern w:val="0"/>
      <w:sz w:val="32"/>
      <w:szCs w:val="32"/>
    </w:rPr>
  </w:style>
  <w:style w:type="paragraph" w:customStyle="1" w:styleId="23">
    <w:name w:val="列表段落1"/>
    <w:basedOn w:val="1"/>
    <w:qFormat/>
    <w:uiPriority w:val="99"/>
    <w:pPr>
      <w:ind w:firstLine="420"/>
    </w:pPr>
  </w:style>
  <w:style w:type="paragraph" w:customStyle="1" w:styleId="24">
    <w:name w:val="修订1"/>
    <w:hidden/>
    <w:semiHidden/>
    <w:qFormat/>
    <w:uiPriority w:val="99"/>
    <w:rPr>
      <w:rFonts w:ascii="Calibri" w:hAnsi="Calibri" w:eastAsia="仿宋" w:cs="黑体"/>
      <w:kern w:val="2"/>
      <w:sz w:val="36"/>
      <w:szCs w:val="22"/>
      <w:lang w:val="en-US" w:eastAsia="zh-CN" w:bidi="ar-SA"/>
    </w:rPr>
  </w:style>
  <w:style w:type="paragraph" w:customStyle="1" w:styleId="25">
    <w:name w:val="p0"/>
    <w:basedOn w:val="1"/>
    <w:qFormat/>
    <w:uiPriority w:val="99"/>
    <w:pPr>
      <w:widowControl/>
      <w:ind w:firstLine="0" w:firstLineChars="0"/>
    </w:pPr>
    <w:rPr>
      <w:rFonts w:eastAsia="宋体" w:cs="Times New Roman"/>
      <w:kern w:val="0"/>
      <w:sz w:val="21"/>
      <w:szCs w:val="21"/>
    </w:rPr>
  </w:style>
  <w:style w:type="paragraph" w:customStyle="1" w:styleId="26">
    <w:name w:val="样式二 大"/>
    <w:basedOn w:val="1"/>
    <w:qFormat/>
    <w:uiPriority w:val="0"/>
    <w:pPr>
      <w:spacing w:line="600" w:lineRule="exact"/>
      <w:ind w:firstLine="640"/>
    </w:pPr>
    <w:rPr>
      <w:rFonts w:ascii="黑体" w:hAnsi="黑体" w:eastAsia="黑体" w:cs="宋体"/>
      <w:szCs w:val="20"/>
    </w:rPr>
  </w:style>
  <w:style w:type="paragraph" w:customStyle="1" w:styleId="27">
    <w:name w:val="TOC 标题2"/>
    <w:basedOn w:val="2"/>
    <w:next w:val="1"/>
    <w:unhideWhenUsed/>
    <w:qFormat/>
    <w:uiPriority w:val="39"/>
    <w:pPr>
      <w:widowControl/>
      <w:spacing w:before="240" w:after="0" w:line="259" w:lineRule="auto"/>
      <w:ind w:firstLine="0" w:firstLineChars="0"/>
      <w:jc w:val="left"/>
      <w:outlineLvl w:val="9"/>
    </w:pPr>
    <w:rPr>
      <w:rFonts w:ascii="Calibri Light" w:hAnsi="Calibri Light" w:eastAsia="宋体"/>
      <w:b w:val="0"/>
      <w:bCs w:val="0"/>
      <w:color w:val="2D73B3"/>
      <w:kern w:val="0"/>
      <w:sz w:val="32"/>
      <w:szCs w:val="32"/>
    </w:rPr>
  </w:style>
  <w:style w:type="paragraph" w:customStyle="1" w:styleId="28">
    <w:name w:val="修订2"/>
    <w:hidden/>
    <w:semiHidden/>
    <w:qFormat/>
    <w:uiPriority w:val="99"/>
    <w:rPr>
      <w:rFonts w:ascii="Calibri" w:hAnsi="Calibri" w:eastAsia="仿宋" w:cs="黑体"/>
      <w:kern w:val="2"/>
      <w:sz w:val="36"/>
      <w:szCs w:val="22"/>
      <w:lang w:val="en-US" w:eastAsia="zh-CN" w:bidi="ar-SA"/>
    </w:rPr>
  </w:style>
  <w:style w:type="paragraph" w:customStyle="1" w:styleId="29">
    <w:name w:val="Char Char4 Char Char"/>
    <w:basedOn w:val="1"/>
    <w:qFormat/>
    <w:uiPriority w:val="0"/>
    <w:pPr>
      <w:widowControl/>
      <w:spacing w:line="300" w:lineRule="auto"/>
    </w:pPr>
    <w:rPr>
      <w:rFonts w:eastAsia="宋体" w:cs="Times New Roman"/>
      <w:sz w:val="21"/>
      <w:szCs w:val="20"/>
    </w:rPr>
  </w:style>
  <w:style w:type="paragraph" w:customStyle="1" w:styleId="30">
    <w:name w:val="UserStyle_2"/>
    <w:basedOn w:val="1"/>
    <w:link w:val="43"/>
    <w:qFormat/>
    <w:uiPriority w:val="0"/>
    <w:pPr>
      <w:widowControl/>
      <w:ind w:firstLine="0" w:firstLineChars="0"/>
      <w:textAlignment w:val="baseline"/>
    </w:pPr>
    <w:rPr>
      <w:rFonts w:eastAsia="宋体" w:cs="Times New Roman"/>
      <w:kern w:val="0"/>
      <w:sz w:val="20"/>
      <w:szCs w:val="20"/>
    </w:rPr>
  </w:style>
  <w:style w:type="paragraph" w:customStyle="1" w:styleId="31">
    <w:name w:val="Char Char4 Char Char1"/>
    <w:basedOn w:val="1"/>
    <w:qFormat/>
    <w:uiPriority w:val="0"/>
    <w:pPr>
      <w:widowControl/>
      <w:spacing w:line="300" w:lineRule="auto"/>
    </w:pPr>
    <w:rPr>
      <w:rFonts w:eastAsia="宋体" w:cs="Times New Roman"/>
      <w:sz w:val="21"/>
      <w:szCs w:val="20"/>
    </w:rPr>
  </w:style>
  <w:style w:type="paragraph" w:customStyle="1" w:styleId="32">
    <w:name w:val="Char Char4 Char Char2"/>
    <w:basedOn w:val="1"/>
    <w:qFormat/>
    <w:uiPriority w:val="0"/>
    <w:pPr>
      <w:widowControl/>
      <w:spacing w:line="300" w:lineRule="auto"/>
    </w:pPr>
    <w:rPr>
      <w:rFonts w:eastAsia="宋体" w:cs="Times New Roman"/>
      <w:sz w:val="21"/>
      <w:szCs w:val="20"/>
    </w:rPr>
  </w:style>
  <w:style w:type="paragraph" w:customStyle="1" w:styleId="33">
    <w:name w:val="修订3"/>
    <w:hidden/>
    <w:semiHidden/>
    <w:qFormat/>
    <w:uiPriority w:val="99"/>
    <w:rPr>
      <w:rFonts w:ascii="Calibri" w:hAnsi="Calibri" w:eastAsia="仿宋" w:cs="黑体"/>
      <w:kern w:val="2"/>
      <w:sz w:val="36"/>
      <w:szCs w:val="22"/>
      <w:lang w:val="en-US" w:eastAsia="zh-CN" w:bidi="ar-SA"/>
    </w:rPr>
  </w:style>
  <w:style w:type="character" w:customStyle="1" w:styleId="34">
    <w:name w:val="批注框文本 字符"/>
    <w:basedOn w:val="18"/>
    <w:link w:val="8"/>
    <w:qFormat/>
    <w:uiPriority w:val="0"/>
    <w:rPr>
      <w:rFonts w:ascii="宋体" w:hAnsi="Calibri" w:cs="黑体"/>
      <w:kern w:val="2"/>
      <w:sz w:val="18"/>
      <w:szCs w:val="18"/>
    </w:rPr>
  </w:style>
  <w:style w:type="character" w:customStyle="1" w:styleId="35">
    <w:name w:val="页眉 字符"/>
    <w:basedOn w:val="18"/>
    <w:link w:val="10"/>
    <w:qFormat/>
    <w:uiPriority w:val="99"/>
    <w:rPr>
      <w:rFonts w:ascii="Calibri" w:hAnsi="Calibri" w:eastAsia="宋体" w:cs="黑体"/>
      <w:kern w:val="2"/>
      <w:sz w:val="18"/>
      <w:szCs w:val="18"/>
    </w:rPr>
  </w:style>
  <w:style w:type="character" w:customStyle="1" w:styleId="36">
    <w:name w:val="页脚 字符"/>
    <w:basedOn w:val="18"/>
    <w:link w:val="9"/>
    <w:qFormat/>
    <w:uiPriority w:val="99"/>
    <w:rPr>
      <w:rFonts w:ascii="Calibri" w:hAnsi="Calibri" w:eastAsia="宋体" w:cs="黑体"/>
      <w:kern w:val="2"/>
      <w:sz w:val="18"/>
      <w:szCs w:val="18"/>
    </w:rPr>
  </w:style>
  <w:style w:type="character" w:customStyle="1" w:styleId="37">
    <w:name w:val="标题 字符"/>
    <w:basedOn w:val="18"/>
    <w:link w:val="15"/>
    <w:qFormat/>
    <w:uiPriority w:val="0"/>
    <w:rPr>
      <w:rFonts w:ascii="Calibri Light" w:hAnsi="Calibri Light" w:eastAsia="黑体" w:cs="黑体"/>
      <w:b/>
      <w:bCs/>
      <w:kern w:val="2"/>
      <w:sz w:val="44"/>
      <w:szCs w:val="32"/>
    </w:rPr>
  </w:style>
  <w:style w:type="character" w:customStyle="1" w:styleId="38">
    <w:name w:val="标题 2 字符"/>
    <w:basedOn w:val="18"/>
    <w:link w:val="3"/>
    <w:qFormat/>
    <w:uiPriority w:val="0"/>
    <w:rPr>
      <w:rFonts w:ascii="Calibri Light" w:hAnsi="Calibri Light" w:eastAsia="黑体" w:cs="黑体"/>
      <w:b/>
      <w:bCs/>
      <w:kern w:val="2"/>
      <w:sz w:val="36"/>
      <w:szCs w:val="32"/>
    </w:rPr>
  </w:style>
  <w:style w:type="character" w:customStyle="1" w:styleId="39">
    <w:name w:val="标题 3 字符"/>
    <w:basedOn w:val="18"/>
    <w:link w:val="4"/>
    <w:qFormat/>
    <w:uiPriority w:val="0"/>
    <w:rPr>
      <w:rFonts w:ascii="Calibri" w:hAnsi="Calibri" w:eastAsia="仿宋" w:cs="黑体"/>
      <w:b/>
      <w:bCs/>
      <w:kern w:val="2"/>
      <w:sz w:val="30"/>
      <w:szCs w:val="32"/>
    </w:rPr>
  </w:style>
  <w:style w:type="character" w:customStyle="1" w:styleId="40">
    <w:name w:val="批注文字 字符"/>
    <w:basedOn w:val="18"/>
    <w:link w:val="5"/>
    <w:qFormat/>
    <w:uiPriority w:val="0"/>
    <w:rPr>
      <w:rFonts w:ascii="Calibri" w:hAnsi="Calibri" w:eastAsia="仿宋" w:cs="黑体"/>
      <w:kern w:val="2"/>
      <w:sz w:val="36"/>
      <w:szCs w:val="22"/>
    </w:rPr>
  </w:style>
  <w:style w:type="character" w:customStyle="1" w:styleId="41">
    <w:name w:val="批注主题 字符"/>
    <w:basedOn w:val="40"/>
    <w:link w:val="16"/>
    <w:qFormat/>
    <w:uiPriority w:val="0"/>
    <w:rPr>
      <w:rFonts w:ascii="Calibri" w:hAnsi="Calibri" w:eastAsia="仿宋" w:cs="黑体"/>
      <w:b/>
      <w:bCs/>
      <w:kern w:val="2"/>
      <w:sz w:val="36"/>
      <w:szCs w:val="22"/>
    </w:rPr>
  </w:style>
  <w:style w:type="character" w:customStyle="1" w:styleId="42">
    <w:name w:val="HTML 预设格式 字符"/>
    <w:basedOn w:val="18"/>
    <w:link w:val="13"/>
    <w:qFormat/>
    <w:uiPriority w:val="0"/>
    <w:rPr>
      <w:rFonts w:ascii="Courier New" w:hAnsi="Courier New" w:eastAsia="仿宋" w:cs="Courier New"/>
      <w:kern w:val="2"/>
    </w:rPr>
  </w:style>
  <w:style w:type="character" w:customStyle="1" w:styleId="43">
    <w:name w:val="NormalCharacter"/>
    <w:link w:val="30"/>
    <w:qFormat/>
    <w:uiPriority w:val="0"/>
  </w:style>
  <w:style w:type="character" w:customStyle="1" w:styleId="44">
    <w:name w:val="正文文本 字符"/>
    <w:basedOn w:val="18"/>
    <w:link w:val="6"/>
    <w:qFormat/>
    <w:uiPriority w:val="99"/>
    <w:rPr>
      <w:rFonts w:eastAsia="仿宋_GB2312"/>
      <w:kern w:val="2"/>
      <w:sz w:val="32"/>
    </w:rPr>
  </w:style>
  <w:style w:type="paragraph" w:customStyle="1" w:styleId="45">
    <w:name w:val="修订4"/>
    <w:hidden/>
    <w:semiHidden/>
    <w:qFormat/>
    <w:uiPriority w:val="99"/>
    <w:rPr>
      <w:rFonts w:ascii="Times New Roman" w:hAnsi="Times New Roman" w:eastAsia="仿宋" w:cs="黑体"/>
      <w:kern w:val="2"/>
      <w:sz w:val="32"/>
      <w:szCs w:val="22"/>
      <w:lang w:val="en-US" w:eastAsia="zh-CN" w:bidi="ar-SA"/>
    </w:rPr>
  </w:style>
  <w:style w:type="paragraph" w:customStyle="1" w:styleId="46">
    <w:name w:val="Revision"/>
    <w:hidden/>
    <w:semiHidden/>
    <w:qFormat/>
    <w:uiPriority w:val="99"/>
    <w:rPr>
      <w:rFonts w:ascii="Times New Roman" w:hAnsi="Times New Roman" w:eastAsia="仿宋" w:cs="黑体"/>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B10CD-BD39-4B8E-B35B-7CFB797DBEA1}">
  <ds:schemaRefs/>
</ds:datastoreItem>
</file>

<file path=docProps/app.xml><?xml version="1.0" encoding="utf-8"?>
<Properties xmlns="http://schemas.openxmlformats.org/officeDocument/2006/extended-properties" xmlns:vt="http://schemas.openxmlformats.org/officeDocument/2006/docPropsVTypes">
  <Template>Normal</Template>
  <Pages>34</Pages>
  <Words>2799</Words>
  <Characters>15958</Characters>
  <Lines>132</Lines>
  <Paragraphs>37</Paragraphs>
  <TotalTime>0</TotalTime>
  <ScaleCrop>false</ScaleCrop>
  <LinksUpToDate>false</LinksUpToDate>
  <CharactersWithSpaces>18720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2021-12-25T17:04:00Z</dcterms:created>
  <dc:creator>董亭月</dc:creator>
  <cp:lastModifiedBy>月</cp:lastModifiedBy>
  <cp:lastPrinted>2021-12-26T02:47:00Z</cp:lastPrinted>
  <dcterms:modified xsi:type="dcterms:W3CDTF">2022-07-13T01:58:18Z</dcterms:modified>
  <dc:title>北京市大兴区“十四五”时期社会治理规划</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2FB9A0E8B08B42C0AA169DBD0E9325F7</vt:lpwstr>
  </property>
</Properties>
</file>