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4"/>
        </w:tabs>
        <w:spacing w:before="312" w:beforeLines="100" w:after="312" w:afterLines="100" w:line="480" w:lineRule="auto"/>
        <w:ind w:firstLine="0" w:firstLineChars="0"/>
        <w:rPr>
          <w:rFonts w:ascii="仿宋" w:hAnsi="仿宋" w:cs="仿宋"/>
          <w:sz w:val="30"/>
          <w:szCs w:val="30"/>
        </w:rPr>
      </w:pPr>
      <w:bookmarkStart w:id="130" w:name="_GoBack"/>
      <w:bookmarkEnd w:id="130"/>
      <w:r>
        <w:rPr>
          <w:rFonts w:ascii="仿宋" w:hAnsi="仿宋" w:cs="仿宋"/>
          <w:sz w:val="30"/>
          <w:szCs w:val="30"/>
        </w:rPr>
        <w:tab/>
      </w:r>
    </w:p>
    <w:p>
      <w:pPr>
        <w:spacing w:before="312" w:beforeLines="100" w:after="312" w:afterLines="100" w:line="480" w:lineRule="auto"/>
        <w:ind w:firstLine="0" w:firstLineChars="0"/>
        <w:jc w:val="center"/>
        <w:rPr>
          <w:rFonts w:ascii="黑体" w:hAnsi="黑体" w:eastAsia="黑体" w:cs="仿宋"/>
          <w:sz w:val="40"/>
          <w:szCs w:val="40"/>
        </w:rPr>
      </w:pPr>
      <w:r>
        <w:rPr>
          <w:rFonts w:hint="eastAsia" w:ascii="黑体" w:hAnsi="黑体" w:eastAsia="黑体" w:cs="仿宋"/>
          <w:sz w:val="40"/>
          <w:szCs w:val="40"/>
        </w:rPr>
        <w:t>大兴区“十四五”时期民政事业发展规划</w:t>
      </w:r>
    </w:p>
    <w:p>
      <w:pPr>
        <w:spacing w:before="312" w:beforeLines="100" w:after="312" w:afterLines="100" w:line="480" w:lineRule="auto"/>
        <w:ind w:firstLine="0" w:firstLineChars="0"/>
        <w:jc w:val="center"/>
        <w:rPr>
          <w:rFonts w:ascii="黑体" w:hAnsi="黑体" w:eastAsia="黑体" w:cs="仿宋"/>
          <w:sz w:val="40"/>
          <w:szCs w:val="40"/>
        </w:rPr>
      </w:pPr>
    </w:p>
    <w:p>
      <w:pPr>
        <w:pStyle w:val="6"/>
        <w:ind w:firstLine="600"/>
        <w:rPr>
          <w:rFonts w:ascii="仿宋" w:hAnsi="仿宋"/>
          <w:sz w:val="30"/>
          <w:szCs w:val="30"/>
        </w:rPr>
      </w:pPr>
    </w:p>
    <w:p>
      <w:pPr>
        <w:pStyle w:val="6"/>
        <w:ind w:firstLine="600"/>
        <w:rPr>
          <w:rFonts w:ascii="仿宋" w:hAnsi="仿宋"/>
          <w:sz w:val="30"/>
          <w:szCs w:val="30"/>
        </w:rPr>
      </w:pPr>
    </w:p>
    <w:p>
      <w:pPr>
        <w:pStyle w:val="6"/>
        <w:ind w:firstLine="600"/>
        <w:rPr>
          <w:rFonts w:ascii="仿宋" w:hAnsi="仿宋"/>
          <w:sz w:val="30"/>
          <w:szCs w:val="30"/>
        </w:rPr>
      </w:pPr>
    </w:p>
    <w:p>
      <w:pPr>
        <w:pStyle w:val="6"/>
        <w:ind w:firstLine="600"/>
        <w:rPr>
          <w:rFonts w:ascii="仿宋" w:hAnsi="仿宋"/>
          <w:sz w:val="30"/>
          <w:szCs w:val="30"/>
        </w:rPr>
      </w:pPr>
    </w:p>
    <w:p>
      <w:pPr>
        <w:pStyle w:val="6"/>
        <w:ind w:firstLine="600"/>
        <w:rPr>
          <w:rFonts w:ascii="仿宋" w:hAnsi="仿宋"/>
          <w:sz w:val="30"/>
          <w:szCs w:val="30"/>
        </w:rPr>
      </w:pPr>
    </w:p>
    <w:p>
      <w:pPr>
        <w:pStyle w:val="6"/>
        <w:ind w:firstLine="600"/>
        <w:rPr>
          <w:rFonts w:ascii="仿宋" w:hAnsi="仿宋"/>
          <w:sz w:val="30"/>
          <w:szCs w:val="30"/>
        </w:rPr>
      </w:pPr>
    </w:p>
    <w:p>
      <w:pPr>
        <w:pStyle w:val="6"/>
        <w:ind w:firstLine="600"/>
        <w:rPr>
          <w:rFonts w:ascii="仿宋" w:hAnsi="仿宋"/>
          <w:sz w:val="30"/>
          <w:szCs w:val="30"/>
        </w:rPr>
      </w:pPr>
    </w:p>
    <w:p>
      <w:pPr>
        <w:spacing w:before="312" w:beforeLines="100" w:after="312" w:afterLines="100" w:line="480" w:lineRule="auto"/>
        <w:ind w:firstLine="0" w:firstLineChars="0"/>
        <w:jc w:val="center"/>
        <w:rPr>
          <w:rFonts w:ascii="仿宋" w:hAnsi="仿宋" w:cs="仿宋"/>
          <w:sz w:val="30"/>
          <w:szCs w:val="30"/>
        </w:rPr>
      </w:pPr>
    </w:p>
    <w:p>
      <w:pPr>
        <w:spacing w:before="312" w:beforeLines="100" w:after="312" w:afterLines="100" w:line="480" w:lineRule="auto"/>
        <w:ind w:firstLine="0" w:firstLineChars="0"/>
        <w:jc w:val="center"/>
        <w:rPr>
          <w:rFonts w:ascii="仿宋" w:hAnsi="仿宋" w:cs="仿宋"/>
          <w:sz w:val="30"/>
          <w:szCs w:val="30"/>
        </w:rPr>
      </w:pPr>
    </w:p>
    <w:p>
      <w:pPr>
        <w:spacing w:before="312" w:beforeLines="100" w:after="312" w:afterLines="100" w:line="480" w:lineRule="auto"/>
        <w:ind w:firstLine="0" w:firstLineChars="0"/>
        <w:jc w:val="center"/>
        <w:rPr>
          <w:rFonts w:ascii="仿宋" w:hAnsi="仿宋" w:cs="仿宋"/>
          <w:sz w:val="30"/>
          <w:szCs w:val="30"/>
        </w:rPr>
      </w:pPr>
    </w:p>
    <w:p>
      <w:pPr>
        <w:tabs>
          <w:tab w:val="left" w:pos="990"/>
          <w:tab w:val="center" w:pos="4153"/>
        </w:tabs>
        <w:spacing w:before="312" w:beforeLines="100" w:after="312" w:afterLines="100" w:line="480" w:lineRule="auto"/>
        <w:ind w:firstLine="0" w:firstLineChars="0"/>
        <w:jc w:val="left"/>
        <w:rPr>
          <w:rFonts w:ascii="仿宋" w:hAnsi="仿宋" w:cs="仿宋"/>
          <w:sz w:val="30"/>
          <w:szCs w:val="30"/>
        </w:rPr>
      </w:pPr>
      <w:r>
        <w:rPr>
          <w:rFonts w:ascii="仿宋" w:hAnsi="仿宋" w:cs="仿宋"/>
          <w:sz w:val="30"/>
          <w:szCs w:val="30"/>
        </w:rPr>
        <w:tab/>
      </w:r>
      <w:r>
        <w:rPr>
          <w:rFonts w:ascii="仿宋" w:hAnsi="仿宋" w:cs="仿宋"/>
          <w:sz w:val="30"/>
          <w:szCs w:val="30"/>
        </w:rPr>
        <w:tab/>
      </w:r>
    </w:p>
    <w:p>
      <w:pPr>
        <w:tabs>
          <w:tab w:val="left" w:pos="990"/>
          <w:tab w:val="center" w:pos="4153"/>
        </w:tabs>
        <w:spacing w:before="312" w:beforeLines="100" w:line="480" w:lineRule="auto"/>
        <w:ind w:firstLine="0" w:firstLineChars="0"/>
        <w:jc w:val="center"/>
        <w:rPr>
          <w:rFonts w:ascii="仿宋" w:hAnsi="仿宋" w:cs="仿宋"/>
          <w:sz w:val="30"/>
          <w:szCs w:val="30"/>
        </w:rPr>
      </w:pPr>
      <w:r>
        <w:rPr>
          <w:rFonts w:hint="eastAsia" w:ascii="仿宋" w:hAnsi="仿宋" w:cs="仿宋"/>
          <w:sz w:val="30"/>
          <w:szCs w:val="30"/>
        </w:rPr>
        <w:t>中国共产党北京市大兴区委员会社会工作委员会</w:t>
      </w:r>
    </w:p>
    <w:p>
      <w:pPr>
        <w:tabs>
          <w:tab w:val="left" w:pos="990"/>
          <w:tab w:val="center" w:pos="4153"/>
        </w:tabs>
        <w:spacing w:before="312" w:beforeLines="100" w:line="480" w:lineRule="auto"/>
        <w:ind w:firstLine="0" w:firstLineChars="0"/>
        <w:jc w:val="center"/>
        <w:rPr>
          <w:rFonts w:ascii="仿宋" w:hAnsi="仿宋" w:cs="仿宋"/>
          <w:sz w:val="30"/>
          <w:szCs w:val="30"/>
        </w:rPr>
      </w:pPr>
      <w:r>
        <w:rPr>
          <w:rFonts w:hint="eastAsia" w:ascii="仿宋" w:hAnsi="仿宋" w:cs="仿宋"/>
          <w:sz w:val="30"/>
          <w:szCs w:val="30"/>
        </w:rPr>
        <w:t>北京市大兴区民政局</w:t>
      </w:r>
    </w:p>
    <w:p>
      <w:pPr>
        <w:tabs>
          <w:tab w:val="left" w:pos="990"/>
          <w:tab w:val="center" w:pos="4153"/>
        </w:tabs>
        <w:spacing w:before="312" w:beforeLines="100" w:after="312" w:afterLines="100" w:line="480" w:lineRule="auto"/>
        <w:ind w:firstLine="0" w:firstLineChars="0"/>
        <w:jc w:val="center"/>
        <w:rPr>
          <w:rFonts w:ascii="仿宋" w:hAnsi="仿宋" w:cs="仿宋"/>
          <w:sz w:val="30"/>
          <w:szCs w:val="30"/>
        </w:rPr>
      </w:pPr>
      <w:r>
        <w:rPr>
          <w:rFonts w:hint="eastAsia" w:ascii="仿宋" w:hAnsi="仿宋" w:cs="仿宋"/>
          <w:sz w:val="30"/>
          <w:szCs w:val="30"/>
        </w:rPr>
        <w:t>二〇二二年二</w:t>
      </w:r>
      <w:r>
        <w:rPr>
          <w:rFonts w:ascii="仿宋" w:hAnsi="仿宋" w:cs="仿宋"/>
          <w:sz w:val="30"/>
          <w:szCs w:val="30"/>
        </w:rPr>
        <w:t>月</w:t>
      </w:r>
    </w:p>
    <w:p>
      <w:pPr>
        <w:pStyle w:val="2"/>
        <w:tabs>
          <w:tab w:val="right" w:leader="dot" w:pos="8296"/>
        </w:tabs>
        <w:ind w:firstLine="0" w:firstLineChars="0"/>
        <w:jc w:val="center"/>
        <w:rPr>
          <w:rFonts w:ascii="仿宋" w:hAnsi="仿宋"/>
          <w:b/>
          <w:bCs/>
          <w:sz w:val="30"/>
          <w:szCs w:val="30"/>
        </w:rPr>
      </w:pPr>
      <w:r>
        <w:rPr>
          <w:rFonts w:hint="eastAsia" w:ascii="仿宋" w:hAnsi="仿宋"/>
          <w:b/>
          <w:bCs/>
          <w:sz w:val="30"/>
          <w:szCs w:val="30"/>
        </w:rPr>
        <w:t>目录</w:t>
      </w:r>
    </w:p>
    <w:p>
      <w:pPr>
        <w:pStyle w:val="2"/>
        <w:tabs>
          <w:tab w:val="right" w:leader="dot" w:pos="8296"/>
        </w:tabs>
        <w:ind w:firstLine="600"/>
        <w:jc w:val="center"/>
        <w:rPr>
          <w:rFonts w:ascii="Calibri" w:hAnsi="Calibri" w:eastAsia="宋体"/>
          <w:sz w:val="21"/>
        </w:rPr>
      </w:pPr>
      <w:r>
        <w:rPr>
          <w:rFonts w:ascii="仿宋" w:hAnsi="仿宋"/>
          <w:sz w:val="30"/>
          <w:szCs w:val="30"/>
        </w:rPr>
        <w:fldChar w:fldCharType="begin"/>
      </w:r>
      <w:r>
        <w:rPr>
          <w:rFonts w:ascii="仿宋" w:hAnsi="仿宋"/>
          <w:sz w:val="30"/>
          <w:szCs w:val="30"/>
        </w:rPr>
        <w:instrText xml:space="preserve"> TOC \o "1-3" \h \z \u </w:instrText>
      </w:r>
      <w:r>
        <w:rPr>
          <w:rFonts w:ascii="仿宋" w:hAnsi="仿宋"/>
          <w:sz w:val="30"/>
          <w:szCs w:val="30"/>
        </w:rPr>
        <w:fldChar w:fldCharType="separate"/>
      </w:r>
      <w:r>
        <w:fldChar w:fldCharType="begin"/>
      </w:r>
      <w:r>
        <w:instrText xml:space="preserve"> HYPERLINK \l "_Toc92172054" </w:instrText>
      </w:r>
      <w:r>
        <w:fldChar w:fldCharType="separate"/>
      </w:r>
      <w:r>
        <w:rPr>
          <w:rStyle w:val="21"/>
        </w:rPr>
        <w:t>第一部分 规划背景</w:t>
      </w:r>
      <w:r>
        <w:tab/>
      </w:r>
      <w:r>
        <w:fldChar w:fldCharType="begin"/>
      </w:r>
      <w:r>
        <w:instrText xml:space="preserve"> PAGEREF _Toc92172054 \h </w:instrText>
      </w:r>
      <w:r>
        <w:fldChar w:fldCharType="separate"/>
      </w:r>
      <w:r>
        <w:t>2</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"_Toc92172055" </w:instrText>
      </w:r>
      <w:r>
        <w:fldChar w:fldCharType="separate"/>
      </w:r>
      <w:r>
        <w:rPr>
          <w:rStyle w:val="21"/>
        </w:rPr>
        <w:t>一、筑牢基础 厚积薄发</w:t>
      </w:r>
      <w:r>
        <w:tab/>
      </w:r>
      <w:r>
        <w:fldChar w:fldCharType="begin"/>
      </w:r>
      <w:r>
        <w:instrText xml:space="preserve"> PAGEREF _Toc92172055 \h </w:instrText>
      </w:r>
      <w:r>
        <w:fldChar w:fldCharType="separate"/>
      </w:r>
      <w:r>
        <w:t>2</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"_Toc92172056" </w:instrText>
      </w:r>
      <w:r>
        <w:fldChar w:fldCharType="separate"/>
      </w:r>
      <w:r>
        <w:rPr>
          <w:rStyle w:val="21"/>
        </w:rPr>
        <w:t>（一）社会福利保障不断健全</w:t>
      </w:r>
      <w:r>
        <w:tab/>
      </w:r>
      <w:r>
        <w:fldChar w:fldCharType="begin"/>
      </w:r>
      <w:r>
        <w:instrText xml:space="preserve"> PAGEREF _Toc92172056 \h </w:instrText>
      </w:r>
      <w:r>
        <w:fldChar w:fldCharType="separate"/>
      </w:r>
      <w:r>
        <w:t>2</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"_Toc92172057" </w:instrText>
      </w:r>
      <w:r>
        <w:fldChar w:fldCharType="separate"/>
      </w:r>
      <w:r>
        <w:rPr>
          <w:rStyle w:val="21"/>
        </w:rPr>
        <w:t>（二）社会救助服务提质增效</w:t>
      </w:r>
      <w:r>
        <w:tab/>
      </w:r>
      <w:r>
        <w:fldChar w:fldCharType="begin"/>
      </w:r>
      <w:r>
        <w:instrText xml:space="preserve"> PAGEREF _Toc92172057 \h </w:instrText>
      </w:r>
      <w:r>
        <w:fldChar w:fldCharType="separate"/>
      </w:r>
      <w:r>
        <w:t>3</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"_Toc92172058" </w:instrText>
      </w:r>
      <w:r>
        <w:fldChar w:fldCharType="separate"/>
      </w:r>
      <w:r>
        <w:rPr>
          <w:rStyle w:val="21"/>
        </w:rPr>
        <w:t>（三）养老服务工作有序发展</w:t>
      </w:r>
      <w:r>
        <w:tab/>
      </w:r>
      <w:r>
        <w:fldChar w:fldCharType="begin"/>
      </w:r>
      <w:r>
        <w:instrText xml:space="preserve"> PAGEREF _Toc92172058 \h </w:instrText>
      </w:r>
      <w:r>
        <w:fldChar w:fldCharType="separate"/>
      </w:r>
      <w:r>
        <w:t>4</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"_Toc92172059" </w:instrText>
      </w:r>
      <w:r>
        <w:fldChar w:fldCharType="separate"/>
      </w:r>
      <w:r>
        <w:rPr>
          <w:rStyle w:val="21"/>
        </w:rPr>
        <w:t>（四）社会事务领域更加惠民</w:t>
      </w:r>
      <w:r>
        <w:tab/>
      </w:r>
      <w:r>
        <w:fldChar w:fldCharType="begin"/>
      </w:r>
      <w:r>
        <w:instrText xml:space="preserve"> PAGEREF _Toc92172059 \h </w:instrText>
      </w:r>
      <w:r>
        <w:fldChar w:fldCharType="separate"/>
      </w:r>
      <w:r>
        <w:t>5</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"_Toc92172060" </w:instrText>
      </w:r>
      <w:r>
        <w:fldChar w:fldCharType="separate"/>
      </w:r>
      <w:r>
        <w:rPr>
          <w:rStyle w:val="21"/>
        </w:rPr>
        <w:t>（五）社会建设工作统筹推进</w:t>
      </w:r>
      <w:r>
        <w:tab/>
      </w:r>
      <w:r>
        <w:fldChar w:fldCharType="begin"/>
      </w:r>
      <w:r>
        <w:instrText xml:space="preserve"> PAGEREF _Toc92172060 \h </w:instrText>
      </w:r>
      <w:r>
        <w:fldChar w:fldCharType="separate"/>
      </w:r>
      <w:r>
        <w:t>6</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"_Toc92172061" </w:instrText>
      </w:r>
      <w:r>
        <w:fldChar w:fldCharType="separate"/>
      </w:r>
      <w:r>
        <w:rPr>
          <w:rStyle w:val="21"/>
        </w:rPr>
        <w:t>（六）社会治理水平显著提升</w:t>
      </w:r>
      <w:r>
        <w:tab/>
      </w:r>
      <w:r>
        <w:fldChar w:fldCharType="begin"/>
      </w:r>
      <w:r>
        <w:instrText xml:space="preserve"> PAGEREF _Toc92172061 \h </w:instrText>
      </w:r>
      <w:r>
        <w:fldChar w:fldCharType="separate"/>
      </w:r>
      <w:r>
        <w:t>7</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"_Toc92172062" </w:instrText>
      </w:r>
      <w:r>
        <w:fldChar w:fldCharType="separate"/>
      </w:r>
      <w:r>
        <w:rPr>
          <w:rStyle w:val="21"/>
        </w:rPr>
        <w:t>二、善育先机 勇开新局</w:t>
      </w:r>
      <w:r>
        <w:tab/>
      </w:r>
      <w:r>
        <w:fldChar w:fldCharType="begin"/>
      </w:r>
      <w:r>
        <w:instrText xml:space="preserve"> PAGEREF _Toc92172062 \h </w:instrText>
      </w:r>
      <w:r>
        <w:fldChar w:fldCharType="separate"/>
      </w:r>
      <w:r>
        <w:t>8</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"_Toc92172063" </w:instrText>
      </w:r>
      <w:r>
        <w:fldChar w:fldCharType="separate"/>
      </w:r>
      <w:r>
        <w:rPr>
          <w:rStyle w:val="21"/>
        </w:rPr>
        <w:t>（一）发展机遇</w:t>
      </w:r>
      <w:r>
        <w:tab/>
      </w:r>
      <w:r>
        <w:fldChar w:fldCharType="begin"/>
      </w:r>
      <w:r>
        <w:instrText xml:space="preserve"> PAGEREF _Toc92172063 \h </w:instrText>
      </w:r>
      <w:r>
        <w:fldChar w:fldCharType="separate"/>
      </w:r>
      <w:r>
        <w:t>8</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"_Toc92172064" </w:instrText>
      </w:r>
      <w:r>
        <w:fldChar w:fldCharType="separate"/>
      </w:r>
      <w:r>
        <w:rPr>
          <w:rStyle w:val="21"/>
        </w:rPr>
        <w:t>（二）面临挑战</w:t>
      </w:r>
      <w:r>
        <w:tab/>
      </w:r>
      <w:r>
        <w:fldChar w:fldCharType="begin"/>
      </w:r>
      <w:r>
        <w:instrText xml:space="preserve"> PAGEREF _Toc92172064 \h </w:instrText>
      </w:r>
      <w:r>
        <w:fldChar w:fldCharType="separate"/>
      </w:r>
      <w:r>
        <w:t>9</w:t>
      </w:r>
      <w:r>
        <w:fldChar w:fldCharType="end"/>
      </w:r>
      <w:r>
        <w:fldChar w:fldCharType="end"/>
      </w:r>
    </w:p>
    <w:p>
      <w:pPr>
        <w:pStyle w:val="2"/>
        <w:tabs>
          <w:tab w:val="right" w:leader="dot" w:pos="8296"/>
        </w:tabs>
        <w:ind w:firstLine="640"/>
        <w:rPr>
          <w:rFonts w:ascii="Calibri" w:hAnsi="Calibri" w:eastAsia="宋体"/>
          <w:sz w:val="21"/>
        </w:rPr>
      </w:pPr>
      <w:r>
        <w:fldChar w:fldCharType="begin"/>
      </w:r>
      <w:r>
        <w:instrText xml:space="preserve"> HYPERLINK \l "_Toc92172065" </w:instrText>
      </w:r>
      <w:r>
        <w:fldChar w:fldCharType="separate"/>
      </w:r>
      <w:r>
        <w:rPr>
          <w:rStyle w:val="21"/>
        </w:rPr>
        <w:t>第二部分 “十四五”时期总体要求</w:t>
      </w:r>
      <w:r>
        <w:tab/>
      </w:r>
      <w:r>
        <w:fldChar w:fldCharType="begin"/>
      </w:r>
      <w:r>
        <w:instrText xml:space="preserve"> PAGEREF _Toc92172065 \h </w:instrText>
      </w:r>
      <w:r>
        <w:fldChar w:fldCharType="separate"/>
      </w:r>
      <w:r>
        <w:t>10</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"_Toc92172066" </w:instrText>
      </w:r>
      <w:r>
        <w:fldChar w:fldCharType="separate"/>
      </w:r>
      <w:r>
        <w:rPr>
          <w:rStyle w:val="21"/>
        </w:rPr>
        <w:t>一、指导思想</w:t>
      </w:r>
      <w:r>
        <w:tab/>
      </w:r>
      <w:r>
        <w:fldChar w:fldCharType="begin"/>
      </w:r>
      <w:r>
        <w:instrText xml:space="preserve"> PAGEREF _Toc92172066 \h </w:instrText>
      </w:r>
      <w:r>
        <w:fldChar w:fldCharType="separate"/>
      </w:r>
      <w:r>
        <w:t>10</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"_Toc92172067" </w:instrText>
      </w:r>
      <w:r>
        <w:fldChar w:fldCharType="separate"/>
      </w:r>
      <w:r>
        <w:rPr>
          <w:rStyle w:val="21"/>
        </w:rPr>
        <w:t>二、基本原则</w:t>
      </w:r>
      <w:r>
        <w:tab/>
      </w:r>
      <w:r>
        <w:fldChar w:fldCharType="begin"/>
      </w:r>
      <w:r>
        <w:instrText xml:space="preserve"> PAGEREF _Toc92172067 \h </w:instrText>
      </w:r>
      <w:r>
        <w:fldChar w:fldCharType="separate"/>
      </w:r>
      <w:r>
        <w:t>11</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"_Toc92172068" </w:instrText>
      </w:r>
      <w:r>
        <w:fldChar w:fldCharType="separate"/>
      </w:r>
      <w:r>
        <w:rPr>
          <w:rStyle w:val="21"/>
        </w:rPr>
        <w:t>三、发展目标</w:t>
      </w:r>
      <w:r>
        <w:tab/>
      </w:r>
      <w:r>
        <w:fldChar w:fldCharType="begin"/>
      </w:r>
      <w:r>
        <w:instrText xml:space="preserve"> PAGEREF _Toc92172068 \h </w:instrText>
      </w:r>
      <w:r>
        <w:fldChar w:fldCharType="separate"/>
      </w:r>
      <w:r>
        <w:t>12</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"_Toc92172069" </w:instrText>
      </w:r>
      <w:r>
        <w:fldChar w:fldCharType="separate"/>
      </w:r>
      <w:r>
        <w:rPr>
          <w:rStyle w:val="21"/>
        </w:rPr>
        <w:t>（一）基本民生保障能力显著增强</w:t>
      </w:r>
      <w:r>
        <w:tab/>
      </w:r>
      <w:r>
        <w:fldChar w:fldCharType="begin"/>
      </w:r>
      <w:r>
        <w:instrText xml:space="preserve"> PAGEREF _Toc92172069 \h </w:instrText>
      </w:r>
      <w:r>
        <w:fldChar w:fldCharType="separate"/>
      </w:r>
      <w:r>
        <w:t>12</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"_Toc92172070" </w:instrText>
      </w:r>
      <w:r>
        <w:fldChar w:fldCharType="separate"/>
      </w:r>
      <w:r>
        <w:rPr>
          <w:rStyle w:val="21"/>
        </w:rPr>
        <w:t>（二）基层社会治理能力持续提升</w:t>
      </w:r>
      <w:r>
        <w:tab/>
      </w:r>
      <w:r>
        <w:fldChar w:fldCharType="begin"/>
      </w:r>
      <w:r>
        <w:instrText xml:space="preserve"> PAGEREF _Toc92172070 \h </w:instrText>
      </w:r>
      <w:r>
        <w:fldChar w:fldCharType="separate"/>
      </w:r>
      <w:r>
        <w:t>13</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"_Toc92172071" </w:instrText>
      </w:r>
      <w:r>
        <w:fldChar w:fldCharType="separate"/>
      </w:r>
      <w:r>
        <w:rPr>
          <w:rStyle w:val="21"/>
        </w:rPr>
        <w:t>（三）基本社会服务供给更加均衡</w:t>
      </w:r>
      <w:r>
        <w:tab/>
      </w:r>
      <w:r>
        <w:fldChar w:fldCharType="begin"/>
      </w:r>
      <w:r>
        <w:instrText xml:space="preserve"> PAGEREF _Toc92172071 \h </w:instrText>
      </w:r>
      <w:r>
        <w:fldChar w:fldCharType="separate"/>
      </w:r>
      <w:r>
        <w:t>13</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"_Toc92172072" </w:instrText>
      </w:r>
      <w:r>
        <w:fldChar w:fldCharType="separate"/>
      </w:r>
      <w:r>
        <w:rPr>
          <w:rStyle w:val="21"/>
        </w:rPr>
        <w:t>（四）民政服务方式更加智慧多元</w:t>
      </w:r>
      <w:r>
        <w:tab/>
      </w:r>
      <w:r>
        <w:fldChar w:fldCharType="begin"/>
      </w:r>
      <w:r>
        <w:instrText xml:space="preserve"> PAGEREF _Toc92172072 \h </w:instrText>
      </w:r>
      <w:r>
        <w:fldChar w:fldCharType="separate"/>
      </w:r>
      <w:r>
        <w:t>13</w:t>
      </w:r>
      <w:r>
        <w:fldChar w:fldCharType="end"/>
      </w:r>
      <w:r>
        <w:fldChar w:fldCharType="end"/>
      </w:r>
    </w:p>
    <w:p>
      <w:pPr>
        <w:pStyle w:val="2"/>
        <w:tabs>
          <w:tab w:val="right" w:leader="dot" w:pos="8296"/>
        </w:tabs>
        <w:ind w:firstLine="640"/>
        <w:rPr>
          <w:rFonts w:ascii="Calibri" w:hAnsi="Calibri" w:eastAsia="宋体"/>
          <w:sz w:val="21"/>
        </w:rPr>
      </w:pPr>
      <w:r>
        <w:fldChar w:fldCharType="begin"/>
      </w:r>
      <w:r>
        <w:instrText xml:space="preserve"> HYPERLINK \l "_Toc92172073" </w:instrText>
      </w:r>
      <w:r>
        <w:fldChar w:fldCharType="separate"/>
      </w:r>
      <w:r>
        <w:rPr>
          <w:rStyle w:val="21"/>
        </w:rPr>
        <w:t>第三部分 “十四五”时期主要任务</w:t>
      </w:r>
      <w:r>
        <w:tab/>
      </w:r>
      <w:r>
        <w:fldChar w:fldCharType="begin"/>
      </w:r>
      <w:r>
        <w:instrText xml:space="preserve"> PAGEREF _Toc92172073 \h </w:instrText>
      </w:r>
      <w:r>
        <w:fldChar w:fldCharType="separate"/>
      </w:r>
      <w:r>
        <w:t>16</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"_Toc92172074" </w:instrText>
      </w:r>
      <w:r>
        <w:fldChar w:fldCharType="separate"/>
      </w:r>
      <w:r>
        <w:rPr>
          <w:rStyle w:val="21"/>
        </w:rPr>
        <w:t>一、建设公平可持续的基本民生保障体系</w:t>
      </w:r>
      <w:r>
        <w:tab/>
      </w:r>
      <w:r>
        <w:fldChar w:fldCharType="begin"/>
      </w:r>
      <w:r>
        <w:instrText xml:space="preserve"> PAGEREF _Toc92172074 \h </w:instrText>
      </w:r>
      <w:r>
        <w:fldChar w:fldCharType="separate"/>
      </w:r>
      <w:r>
        <w:t>16</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"_Toc92172075" </w:instrText>
      </w:r>
      <w:r>
        <w:fldChar w:fldCharType="separate"/>
      </w:r>
      <w:r>
        <w:rPr>
          <w:rStyle w:val="21"/>
        </w:rPr>
        <w:t>（一）完善社会救助救济体系</w:t>
      </w:r>
      <w:r>
        <w:tab/>
      </w:r>
      <w:r>
        <w:fldChar w:fldCharType="begin"/>
      </w:r>
      <w:r>
        <w:instrText xml:space="preserve"> PAGEREF _Toc92172075 \h </w:instrText>
      </w:r>
      <w:r>
        <w:fldChar w:fldCharType="separate"/>
      </w:r>
      <w:r>
        <w:t>16</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"_Toc92172076" </w:instrText>
      </w:r>
      <w:r>
        <w:fldChar w:fldCharType="separate"/>
      </w:r>
      <w:r>
        <w:rPr>
          <w:rStyle w:val="21"/>
          <w:rFonts w:ascii="仿宋" w:hAnsi="仿宋"/>
        </w:rPr>
        <w:t>（二）大力发展养老服务体系</w:t>
      </w:r>
      <w:r>
        <w:tab/>
      </w:r>
      <w:r>
        <w:fldChar w:fldCharType="begin"/>
      </w:r>
      <w:r>
        <w:instrText xml:space="preserve"> PAGEREF _Toc92172076 \h </w:instrText>
      </w:r>
      <w:r>
        <w:fldChar w:fldCharType="separate"/>
      </w:r>
      <w:r>
        <w:t>17</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"_Toc92172077" </w:instrText>
      </w:r>
      <w:r>
        <w:fldChar w:fldCharType="separate"/>
      </w:r>
      <w:r>
        <w:rPr>
          <w:rStyle w:val="21"/>
        </w:rPr>
        <w:t>（三）持续优化残疾人服务体系</w:t>
      </w:r>
      <w:r>
        <w:tab/>
      </w:r>
      <w:r>
        <w:fldChar w:fldCharType="begin"/>
      </w:r>
      <w:r>
        <w:instrText xml:space="preserve"> PAGEREF _Toc92172077 \h </w:instrText>
      </w:r>
      <w:r>
        <w:fldChar w:fldCharType="separate"/>
      </w:r>
      <w:r>
        <w:t>20</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"_Toc92172078" </w:instrText>
      </w:r>
      <w:r>
        <w:fldChar w:fldCharType="separate"/>
      </w:r>
      <w:r>
        <w:rPr>
          <w:rStyle w:val="21"/>
        </w:rPr>
        <w:t>（四）加强儿童福利保护体系</w:t>
      </w:r>
      <w:r>
        <w:tab/>
      </w:r>
      <w:r>
        <w:fldChar w:fldCharType="begin"/>
      </w:r>
      <w:r>
        <w:instrText xml:space="preserve"> PAGEREF _Toc92172078 \h </w:instrText>
      </w:r>
      <w:r>
        <w:fldChar w:fldCharType="separate"/>
      </w:r>
      <w:r>
        <w:t>23</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"_Toc92172079" </w:instrText>
      </w:r>
      <w:r>
        <w:fldChar w:fldCharType="separate"/>
      </w:r>
      <w:r>
        <w:rPr>
          <w:rStyle w:val="21"/>
        </w:rPr>
        <w:t>二、建设活力有序的基层社会治理体系</w:t>
      </w:r>
      <w:r>
        <w:tab/>
      </w:r>
      <w:r>
        <w:fldChar w:fldCharType="begin"/>
      </w:r>
      <w:r>
        <w:instrText xml:space="preserve"> PAGEREF _Toc92172079 \h </w:instrText>
      </w:r>
      <w:r>
        <w:fldChar w:fldCharType="separate"/>
      </w:r>
      <w:r>
        <w:t>24</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"_Toc92172080" </w:instrText>
      </w:r>
      <w:r>
        <w:fldChar w:fldCharType="separate"/>
      </w:r>
      <w:r>
        <w:rPr>
          <w:rStyle w:val="21"/>
        </w:rPr>
        <w:t>（一）深化城乡社区治理服务创新</w:t>
      </w:r>
      <w:r>
        <w:tab/>
      </w:r>
      <w:r>
        <w:fldChar w:fldCharType="begin"/>
      </w:r>
      <w:r>
        <w:instrText xml:space="preserve"> PAGEREF _Toc92172080 \h </w:instrText>
      </w:r>
      <w:r>
        <w:fldChar w:fldCharType="separate"/>
      </w:r>
      <w:r>
        <w:t>24</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"_Toc92172081" </w:instrText>
      </w:r>
      <w:r>
        <w:fldChar w:fldCharType="separate"/>
      </w:r>
      <w:r>
        <w:rPr>
          <w:rStyle w:val="21"/>
        </w:rPr>
        <w:t>（二）强化基层政权建设</w:t>
      </w:r>
      <w:r>
        <w:tab/>
      </w:r>
      <w:r>
        <w:fldChar w:fldCharType="begin"/>
      </w:r>
      <w:r>
        <w:instrText xml:space="preserve"> PAGEREF _Toc92172081 \h </w:instrText>
      </w:r>
      <w:r>
        <w:fldChar w:fldCharType="separate"/>
      </w:r>
      <w:r>
        <w:t>27</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"_Toc92172082" </w:instrText>
      </w:r>
      <w:r>
        <w:fldChar w:fldCharType="separate"/>
      </w:r>
      <w:r>
        <w:rPr>
          <w:rStyle w:val="21"/>
        </w:rPr>
        <w:t>（三）加强社会组织培育管理</w:t>
      </w:r>
      <w:r>
        <w:tab/>
      </w:r>
      <w:r>
        <w:fldChar w:fldCharType="begin"/>
      </w:r>
      <w:r>
        <w:instrText xml:space="preserve"> PAGEREF _Toc92172082 \h </w:instrText>
      </w:r>
      <w:r>
        <w:fldChar w:fldCharType="separate"/>
      </w:r>
      <w:r>
        <w:t>27</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"_Toc92172083" </w:instrText>
      </w:r>
      <w:r>
        <w:fldChar w:fldCharType="separate"/>
      </w:r>
      <w:r>
        <w:rPr>
          <w:rStyle w:val="21"/>
        </w:rPr>
        <w:t>（四）促进社会工作发展</w:t>
      </w:r>
      <w:r>
        <w:tab/>
      </w:r>
      <w:r>
        <w:fldChar w:fldCharType="begin"/>
      </w:r>
      <w:r>
        <w:instrText xml:space="preserve"> PAGEREF _Toc92172083 \h </w:instrText>
      </w:r>
      <w:r>
        <w:fldChar w:fldCharType="separate"/>
      </w:r>
      <w:r>
        <w:t>29</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"_Toc92172084" </w:instrText>
      </w:r>
      <w:r>
        <w:fldChar w:fldCharType="separate"/>
      </w:r>
      <w:r>
        <w:rPr>
          <w:rStyle w:val="21"/>
        </w:rPr>
        <w:t>（五）推动志愿服务发展</w:t>
      </w:r>
      <w:r>
        <w:tab/>
      </w:r>
      <w:r>
        <w:fldChar w:fldCharType="begin"/>
      </w:r>
      <w:r>
        <w:instrText xml:space="preserve"> PAGEREF _Toc92172084 \h </w:instrText>
      </w:r>
      <w:r>
        <w:fldChar w:fldCharType="separate"/>
      </w:r>
      <w:r>
        <w:t>30</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"_Toc92172085" </w:instrText>
      </w:r>
      <w:r>
        <w:fldChar w:fldCharType="separate"/>
      </w:r>
      <w:r>
        <w:rPr>
          <w:rStyle w:val="21"/>
        </w:rPr>
        <w:t>三、建设均等高质量的基本社会服务体系</w:t>
      </w:r>
      <w:r>
        <w:tab/>
      </w:r>
      <w:r>
        <w:fldChar w:fldCharType="begin"/>
      </w:r>
      <w:r>
        <w:instrText xml:space="preserve"> PAGEREF _Toc92172085 \h </w:instrText>
      </w:r>
      <w:r>
        <w:fldChar w:fldCharType="separate"/>
      </w:r>
      <w:r>
        <w:t>31</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"_Toc92172086" </w:instrText>
      </w:r>
      <w:r>
        <w:fldChar w:fldCharType="separate"/>
      </w:r>
      <w:r>
        <w:rPr>
          <w:rStyle w:val="21"/>
        </w:rPr>
        <w:t>（一）创新婚姻家庭服务</w:t>
      </w:r>
      <w:r>
        <w:tab/>
      </w:r>
      <w:r>
        <w:fldChar w:fldCharType="begin"/>
      </w:r>
      <w:r>
        <w:instrText xml:space="preserve"> PAGEREF _Toc92172086 \h </w:instrText>
      </w:r>
      <w:r>
        <w:fldChar w:fldCharType="separate"/>
      </w:r>
      <w:r>
        <w:t>31</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"_Toc92172087" </w:instrText>
      </w:r>
      <w:r>
        <w:fldChar w:fldCharType="separate"/>
      </w:r>
      <w:r>
        <w:rPr>
          <w:rStyle w:val="21"/>
        </w:rPr>
        <w:t>（二）持续深化殡葬改革</w:t>
      </w:r>
      <w:r>
        <w:tab/>
      </w:r>
      <w:r>
        <w:fldChar w:fldCharType="begin"/>
      </w:r>
      <w:r>
        <w:instrText xml:space="preserve"> PAGEREF _Toc92172087 \h </w:instrText>
      </w:r>
      <w:r>
        <w:fldChar w:fldCharType="separate"/>
      </w:r>
      <w:r>
        <w:t>32</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"_Toc92172088" </w:instrText>
      </w:r>
      <w:r>
        <w:fldChar w:fldCharType="separate"/>
      </w:r>
      <w:r>
        <w:rPr>
          <w:rStyle w:val="21"/>
        </w:rPr>
        <w:t>（三）完善社会心理服务体系</w:t>
      </w:r>
      <w:r>
        <w:tab/>
      </w:r>
      <w:r>
        <w:fldChar w:fldCharType="begin"/>
      </w:r>
      <w:r>
        <w:instrText xml:space="preserve"> PAGEREF _Toc92172088 \h </w:instrText>
      </w:r>
      <w:r>
        <w:fldChar w:fldCharType="separate"/>
      </w:r>
      <w:r>
        <w:t>33</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"_Toc92172089" </w:instrText>
      </w:r>
      <w:r>
        <w:fldChar w:fldCharType="separate"/>
      </w:r>
      <w:r>
        <w:rPr>
          <w:rStyle w:val="21"/>
        </w:rPr>
        <w:t>（四）持续推进慈善事业建设</w:t>
      </w:r>
      <w:r>
        <w:tab/>
      </w:r>
      <w:r>
        <w:fldChar w:fldCharType="begin"/>
      </w:r>
      <w:r>
        <w:instrText xml:space="preserve"> PAGEREF _Toc92172089 \h </w:instrText>
      </w:r>
      <w:r>
        <w:fldChar w:fldCharType="separate"/>
      </w:r>
      <w:r>
        <w:t>33</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"_Toc92172090" </w:instrText>
      </w:r>
      <w:r>
        <w:fldChar w:fldCharType="separate"/>
      </w:r>
      <w:r>
        <w:rPr>
          <w:rStyle w:val="21"/>
        </w:rPr>
        <w:t>（五）加强见义勇为权益保护</w:t>
      </w:r>
      <w:r>
        <w:tab/>
      </w:r>
      <w:r>
        <w:fldChar w:fldCharType="begin"/>
      </w:r>
      <w:r>
        <w:instrText xml:space="preserve"> PAGEREF _Toc92172090 \h </w:instrText>
      </w:r>
      <w:r>
        <w:fldChar w:fldCharType="separate"/>
      </w:r>
      <w:r>
        <w:t>34</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"_Toc92172091" </w:instrText>
      </w:r>
      <w:r>
        <w:fldChar w:fldCharType="separate"/>
      </w:r>
      <w:r>
        <w:rPr>
          <w:rStyle w:val="21"/>
        </w:rPr>
        <w:t>四、建设智慧多元的民政基础支撑体系</w:t>
      </w:r>
      <w:r>
        <w:tab/>
      </w:r>
      <w:r>
        <w:fldChar w:fldCharType="begin"/>
      </w:r>
      <w:r>
        <w:instrText xml:space="preserve"> PAGEREF _Toc92172091 \h </w:instrText>
      </w:r>
      <w:r>
        <w:fldChar w:fldCharType="separate"/>
      </w:r>
      <w:r>
        <w:t>34</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"_Toc92172092" </w:instrText>
      </w:r>
      <w:r>
        <w:fldChar w:fldCharType="separate"/>
      </w:r>
      <w:r>
        <w:rPr>
          <w:rStyle w:val="21"/>
        </w:rPr>
        <w:t>（一）推进智慧民政建设</w:t>
      </w:r>
      <w:r>
        <w:tab/>
      </w:r>
      <w:r>
        <w:fldChar w:fldCharType="begin"/>
      </w:r>
      <w:r>
        <w:instrText xml:space="preserve"> PAGEREF _Toc92172092 \h </w:instrText>
      </w:r>
      <w:r>
        <w:fldChar w:fldCharType="separate"/>
      </w:r>
      <w:r>
        <w:t>34</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"_Toc92172093" </w:instrText>
      </w:r>
      <w:r>
        <w:fldChar w:fldCharType="separate"/>
      </w:r>
      <w:r>
        <w:rPr>
          <w:rStyle w:val="21"/>
        </w:rPr>
        <w:t>（二）加强法治民政建设</w:t>
      </w:r>
      <w:r>
        <w:tab/>
      </w:r>
      <w:r>
        <w:fldChar w:fldCharType="begin"/>
      </w:r>
      <w:r>
        <w:instrText xml:space="preserve"> PAGEREF _Toc92172093 \h </w:instrText>
      </w:r>
      <w:r>
        <w:fldChar w:fldCharType="separate"/>
      </w:r>
      <w:r>
        <w:t>37</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"_Toc92172094" </w:instrText>
      </w:r>
      <w:r>
        <w:fldChar w:fldCharType="separate"/>
      </w:r>
      <w:r>
        <w:rPr>
          <w:rStyle w:val="21"/>
        </w:rPr>
        <w:t>（三）夯实民政基础设施建设</w:t>
      </w:r>
      <w:r>
        <w:tab/>
      </w:r>
      <w:r>
        <w:fldChar w:fldCharType="begin"/>
      </w:r>
      <w:r>
        <w:instrText xml:space="preserve"> PAGEREF _Toc92172094 \h </w:instrText>
      </w:r>
      <w:r>
        <w:fldChar w:fldCharType="separate"/>
      </w:r>
      <w:r>
        <w:t>38</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"_Toc92172095" </w:instrText>
      </w:r>
      <w:r>
        <w:fldChar w:fldCharType="separate"/>
      </w:r>
      <w:r>
        <w:rPr>
          <w:rStyle w:val="21"/>
        </w:rPr>
        <w:t>五、建设精准高效的民政监管体系</w:t>
      </w:r>
      <w:r>
        <w:tab/>
      </w:r>
      <w:r>
        <w:fldChar w:fldCharType="begin"/>
      </w:r>
      <w:r>
        <w:instrText xml:space="preserve"> PAGEREF _Toc92172095 \h </w:instrText>
      </w:r>
      <w:r>
        <w:fldChar w:fldCharType="separate"/>
      </w:r>
      <w:r>
        <w:t>39</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"_Toc92172096" </w:instrText>
      </w:r>
      <w:r>
        <w:fldChar w:fldCharType="separate"/>
      </w:r>
      <w:r>
        <w:rPr>
          <w:rStyle w:val="21"/>
        </w:rPr>
        <w:t>（一）健全监督管理制度</w:t>
      </w:r>
      <w:r>
        <w:tab/>
      </w:r>
      <w:r>
        <w:fldChar w:fldCharType="begin"/>
      </w:r>
      <w:r>
        <w:instrText xml:space="preserve"> PAGEREF _Toc92172096 \h </w:instrText>
      </w:r>
      <w:r>
        <w:fldChar w:fldCharType="separate"/>
      </w:r>
      <w:r>
        <w:t>39</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"_Toc92172097" </w:instrText>
      </w:r>
      <w:r>
        <w:fldChar w:fldCharType="separate"/>
      </w:r>
      <w:r>
        <w:rPr>
          <w:rStyle w:val="21"/>
        </w:rPr>
        <w:t>（二）强化安全责任落实</w:t>
      </w:r>
      <w:r>
        <w:tab/>
      </w:r>
      <w:r>
        <w:fldChar w:fldCharType="begin"/>
      </w:r>
      <w:r>
        <w:instrText xml:space="preserve"> PAGEREF _Toc92172097 \h </w:instrText>
      </w:r>
      <w:r>
        <w:fldChar w:fldCharType="separate"/>
      </w:r>
      <w:r>
        <w:t>39</w:t>
      </w:r>
      <w:r>
        <w:fldChar w:fldCharType="end"/>
      </w:r>
      <w:r>
        <w:fldChar w:fldCharType="end"/>
      </w:r>
    </w:p>
    <w:p>
      <w:pPr>
        <w:pStyle w:val="9"/>
        <w:tabs>
          <w:tab w:val="right" w:leader="dot" w:pos="8296"/>
        </w:tabs>
        <w:ind w:left="1280" w:firstLine="640"/>
        <w:rPr>
          <w:rFonts w:ascii="Calibri" w:hAnsi="Calibri" w:eastAsia="宋体"/>
          <w:sz w:val="21"/>
        </w:rPr>
      </w:pPr>
      <w:r>
        <w:fldChar w:fldCharType="begin"/>
      </w:r>
      <w:r>
        <w:instrText xml:space="preserve"> HYPERLINK \l "_Toc92172098" </w:instrText>
      </w:r>
      <w:r>
        <w:fldChar w:fldCharType="separate"/>
      </w:r>
      <w:r>
        <w:rPr>
          <w:rStyle w:val="21"/>
        </w:rPr>
        <w:t>（三）创新丰富监管形式</w:t>
      </w:r>
      <w:r>
        <w:tab/>
      </w:r>
      <w:r>
        <w:fldChar w:fldCharType="begin"/>
      </w:r>
      <w:r>
        <w:instrText xml:space="preserve"> PAGEREF _Toc92172098 \h </w:instrText>
      </w:r>
      <w:r>
        <w:fldChar w:fldCharType="separate"/>
      </w:r>
      <w:r>
        <w:t>40</w:t>
      </w:r>
      <w:r>
        <w:fldChar w:fldCharType="end"/>
      </w:r>
      <w:r>
        <w:fldChar w:fldCharType="end"/>
      </w:r>
    </w:p>
    <w:p>
      <w:pPr>
        <w:pStyle w:val="2"/>
        <w:tabs>
          <w:tab w:val="right" w:leader="dot" w:pos="8296"/>
        </w:tabs>
        <w:ind w:firstLine="640"/>
        <w:rPr>
          <w:rFonts w:ascii="Calibri" w:hAnsi="Calibri" w:eastAsia="宋体"/>
          <w:sz w:val="21"/>
        </w:rPr>
      </w:pPr>
      <w:r>
        <w:fldChar w:fldCharType="begin"/>
      </w:r>
      <w:r>
        <w:instrText xml:space="preserve"> HYPERLINK \l "_Toc92172099" </w:instrText>
      </w:r>
      <w:r>
        <w:fldChar w:fldCharType="separate"/>
      </w:r>
      <w:r>
        <w:rPr>
          <w:rStyle w:val="21"/>
        </w:rPr>
        <w:t>第四部分 保障措施</w:t>
      </w:r>
      <w:r>
        <w:tab/>
      </w:r>
      <w:r>
        <w:fldChar w:fldCharType="begin"/>
      </w:r>
      <w:r>
        <w:instrText xml:space="preserve"> PAGEREF _Toc92172099 \h </w:instrText>
      </w:r>
      <w:r>
        <w:fldChar w:fldCharType="separate"/>
      </w:r>
      <w:r>
        <w:t>41</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"_Toc92172100" </w:instrText>
      </w:r>
      <w:r>
        <w:fldChar w:fldCharType="separate"/>
      </w:r>
      <w:r>
        <w:rPr>
          <w:rStyle w:val="21"/>
        </w:rPr>
        <w:t>一、统筹规划组织实施</w:t>
      </w:r>
      <w:r>
        <w:tab/>
      </w:r>
      <w:r>
        <w:fldChar w:fldCharType="begin"/>
      </w:r>
      <w:r>
        <w:instrText xml:space="preserve"> PAGEREF _Toc92172100 \h </w:instrText>
      </w:r>
      <w:r>
        <w:fldChar w:fldCharType="separate"/>
      </w:r>
      <w:r>
        <w:t>41</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"_Toc92172101" </w:instrText>
      </w:r>
      <w:r>
        <w:fldChar w:fldCharType="separate"/>
      </w:r>
      <w:r>
        <w:rPr>
          <w:rStyle w:val="21"/>
        </w:rPr>
        <w:t>二、完善多渠道筹资机制</w:t>
      </w:r>
      <w:r>
        <w:tab/>
      </w:r>
      <w:r>
        <w:fldChar w:fldCharType="begin"/>
      </w:r>
      <w:r>
        <w:instrText xml:space="preserve"> PAGEREF _Toc92172101 \h </w:instrText>
      </w:r>
      <w:r>
        <w:fldChar w:fldCharType="separate"/>
      </w:r>
      <w:r>
        <w:t>41</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"_Toc92172102" </w:instrText>
      </w:r>
      <w:r>
        <w:fldChar w:fldCharType="separate"/>
      </w:r>
      <w:r>
        <w:rPr>
          <w:rStyle w:val="21"/>
        </w:rPr>
        <w:t>三、推动多方力量参与</w:t>
      </w:r>
      <w:r>
        <w:tab/>
      </w:r>
      <w:r>
        <w:fldChar w:fldCharType="begin"/>
      </w:r>
      <w:r>
        <w:instrText xml:space="preserve"> PAGEREF _Toc92172102 \h </w:instrText>
      </w:r>
      <w:r>
        <w:fldChar w:fldCharType="separate"/>
      </w:r>
      <w:r>
        <w:t>42</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"_Toc92172103" </w:instrText>
      </w:r>
      <w:r>
        <w:fldChar w:fldCharType="separate"/>
      </w:r>
      <w:r>
        <w:rPr>
          <w:rStyle w:val="21"/>
        </w:rPr>
        <w:t>四、注重规划协同发展</w:t>
      </w:r>
      <w:r>
        <w:tab/>
      </w:r>
      <w:r>
        <w:fldChar w:fldCharType="begin"/>
      </w:r>
      <w:r>
        <w:instrText xml:space="preserve"> PAGEREF _Toc92172103 \h </w:instrText>
      </w:r>
      <w:r>
        <w:fldChar w:fldCharType="separate"/>
      </w:r>
      <w:r>
        <w:t>42</w:t>
      </w:r>
      <w:r>
        <w:fldChar w:fldCharType="end"/>
      </w:r>
      <w:r>
        <w:fldChar w:fldCharType="end"/>
      </w:r>
    </w:p>
    <w:p>
      <w:pPr>
        <w:pStyle w:val="14"/>
        <w:tabs>
          <w:tab w:val="right" w:leader="dot" w:pos="8296"/>
        </w:tabs>
        <w:ind w:left="640" w:firstLine="640"/>
        <w:rPr>
          <w:rFonts w:ascii="Calibri" w:hAnsi="Calibri" w:eastAsia="宋体"/>
          <w:sz w:val="21"/>
        </w:rPr>
      </w:pPr>
      <w:r>
        <w:fldChar w:fldCharType="begin"/>
      </w:r>
      <w:r>
        <w:instrText xml:space="preserve"> HYPERLINK \l "_Toc92172104" </w:instrText>
      </w:r>
      <w:r>
        <w:fldChar w:fldCharType="separate"/>
      </w:r>
      <w:r>
        <w:rPr>
          <w:rStyle w:val="21"/>
        </w:rPr>
        <w:t>五、强化评估考核</w:t>
      </w:r>
      <w:r>
        <w:tab/>
      </w:r>
      <w:r>
        <w:fldChar w:fldCharType="begin"/>
      </w:r>
      <w:r>
        <w:instrText xml:space="preserve"> PAGEREF _Toc92172104 \h </w:instrText>
      </w:r>
      <w:r>
        <w:fldChar w:fldCharType="separate"/>
      </w:r>
      <w:r>
        <w:t>43</w:t>
      </w:r>
      <w:r>
        <w:fldChar w:fldCharType="end"/>
      </w:r>
      <w:r>
        <w:fldChar w:fldCharType="end"/>
      </w:r>
    </w:p>
    <w:p>
      <w:pPr>
        <w:pStyle w:val="6"/>
        <w:ind w:firstLine="0" w:firstLineChars="0"/>
        <w:jc w:val="center"/>
        <w:rPr>
          <w:rFonts w:ascii="仿宋" w:hAnsi="仿宋"/>
          <w:sz w:val="30"/>
          <w:szCs w:val="30"/>
        </w:rPr>
      </w:pPr>
      <w:r>
        <w:rPr>
          <w:rFonts w:ascii="仿宋" w:hAnsi="仿宋"/>
          <w:sz w:val="30"/>
          <w:szCs w:val="30"/>
        </w:rPr>
        <w:fldChar w:fldCharType="end"/>
      </w:r>
    </w:p>
    <w:p>
      <w:pPr>
        <w:ind w:firstLine="600"/>
        <w:rPr>
          <w:rFonts w:ascii="仿宋" w:hAnsi="仿宋"/>
          <w:sz w:val="30"/>
          <w:szCs w:val="30"/>
        </w:rPr>
      </w:pPr>
      <w:r>
        <w:rPr>
          <w:rFonts w:hint="eastAsia" w:ascii="仿宋" w:hAnsi="仿宋"/>
          <w:sz w:val="30"/>
          <w:szCs w:val="30"/>
        </w:rPr>
        <w:t xml:space="preserve"> </w:t>
      </w:r>
      <w:r>
        <w:rPr>
          <w:rFonts w:ascii="仿宋" w:hAnsi="仿宋"/>
          <w:sz w:val="30"/>
          <w:szCs w:val="30"/>
        </w:rPr>
        <w:t xml:space="preserve">                   </w:t>
      </w: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0"/>
        <w:rPr>
          <w:rFonts w:ascii="仿宋" w:hAnsi="仿宋"/>
          <w:sz w:val="30"/>
          <w:szCs w:val="30"/>
        </w:rPr>
      </w:pPr>
    </w:p>
    <w:p>
      <w:pPr>
        <w:ind w:firstLine="602"/>
        <w:jc w:val="center"/>
        <w:rPr>
          <w:rFonts w:ascii="仿宋" w:hAnsi="仿宋"/>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bookmarkStart w:id="0" w:name="_Toc51553128"/>
      <w:bookmarkStart w:id="1" w:name="_Toc76637526"/>
    </w:p>
    <w:p>
      <w:pPr>
        <w:ind w:firstLine="0" w:firstLineChars="0"/>
        <w:jc w:val="center"/>
        <w:rPr>
          <w:rFonts w:ascii="仿宋" w:hAnsi="仿宋"/>
          <w:szCs w:val="32"/>
        </w:rPr>
      </w:pPr>
      <w:r>
        <w:rPr>
          <w:rFonts w:hint="eastAsia" w:ascii="仿宋" w:hAnsi="仿宋"/>
          <w:b/>
          <w:bCs/>
          <w:color w:val="000000"/>
          <w:szCs w:val="32"/>
          <w:lang w:val="zh-CN"/>
        </w:rPr>
        <w:t>前 言</w:t>
      </w:r>
      <w:bookmarkEnd w:id="0"/>
      <w:bookmarkEnd w:id="1"/>
    </w:p>
    <w:p>
      <w:pPr>
        <w:ind w:firstLine="640"/>
        <w:rPr>
          <w:rFonts w:ascii="仿宋_GB2312"/>
        </w:rPr>
      </w:pPr>
      <w:bookmarkStart w:id="2" w:name="_Toc76637527"/>
      <w:bookmarkStart w:id="3" w:name="_Toc51553129"/>
      <w:r>
        <w:rPr>
          <w:rFonts w:hint="eastAsia" w:ascii="仿宋_GB2312"/>
        </w:rPr>
        <w:t>“十三五”时期，大兴区坚守“民政为民、民政爱民”的初心和使命，贯彻打赢脱贫攻坚战的战略部署，着力保障和改善民生，推进建立党建引领共建共治共享的基层社会治理新格局，民政民生领域各项工作取得了显著成绩，有力服务了大兴区改革发展稳定大局。</w:t>
      </w:r>
      <w:bookmarkEnd w:id="2"/>
      <w:bookmarkEnd w:id="3"/>
      <w:r>
        <w:rPr>
          <w:rFonts w:hint="eastAsia" w:ascii="仿宋_GB2312"/>
        </w:rPr>
        <w:t>“十四五”时期是衔接“两个一百年”奋斗目标，</w:t>
      </w:r>
      <w:bookmarkStart w:id="4" w:name="_Hlk50275446"/>
      <w:r>
        <w:rPr>
          <w:rFonts w:hint="eastAsia" w:ascii="仿宋_GB2312"/>
        </w:rPr>
        <w:t>巩固小康社会奋斗成果的关键五年，是科学把握“以国内大循环为主体、国内国际双循环相互促进”的新发展格局，落实北京市“四个中心”城市战略定位，奋力谱写新时代首都高质量发展新篇章的五年。大兴区要立足“三区一门户”功能定位，牢牢守住民生保障底线，更好地履行基本民生保障、基层社会治理、基本社会服务等职责，大力构建现代化民政发展新格局，为大兴区建设“现代化平原新城、首都发展新的增长极、繁荣开放美丽新国门”的目标作出新的贡献。</w:t>
      </w:r>
      <w:bookmarkEnd w:id="4"/>
    </w:p>
    <w:p>
      <w:pPr>
        <w:ind w:firstLine="640"/>
      </w:pPr>
      <w:r>
        <w:rPr>
          <w:rFonts w:hint="eastAsia"/>
        </w:rPr>
        <w:t>本规划主要依据《中共中央关于制定国民经济和社会发展第十四个五年规划和二</w:t>
      </w:r>
      <w:r>
        <w:rPr>
          <w:rFonts w:hint="eastAsia" w:ascii="微软雅黑" w:hAnsi="微软雅黑" w:eastAsia="微软雅黑" w:cs="微软雅黑"/>
        </w:rPr>
        <w:t>〇</w:t>
      </w:r>
      <w:r>
        <w:rPr>
          <w:rFonts w:hint="eastAsia"/>
        </w:rPr>
        <w:t>三五年远景目标的建议》《中华人民共和国国民经济和社会发展第十四个五年规划和</w:t>
      </w:r>
      <w:r>
        <w:rPr>
          <w:rFonts w:hint="eastAsia" w:ascii="仿宋_GB2312"/>
        </w:rPr>
        <w:t>2035</w:t>
      </w:r>
      <w:r>
        <w:rPr>
          <w:rFonts w:hint="eastAsia"/>
        </w:rPr>
        <w:t>年远景目标纲要》《“十四五”民政事业发展规划》《北京城市总体规划(</w:t>
      </w:r>
      <w:r>
        <w:rPr>
          <w:rFonts w:hint="eastAsia" w:ascii="仿宋_GB2312"/>
        </w:rPr>
        <w:t>2016</w:t>
      </w:r>
      <w:r>
        <w:rPr>
          <w:rFonts w:hint="eastAsia"/>
        </w:rPr>
        <w:t>年—</w:t>
      </w:r>
      <w:r>
        <w:rPr>
          <w:rFonts w:hint="eastAsia" w:ascii="仿宋_GB2312"/>
        </w:rPr>
        <w:t>2035</w:t>
      </w:r>
      <w:r>
        <w:rPr>
          <w:rFonts w:hint="eastAsia"/>
        </w:rPr>
        <w:t>年)》《北京市国民经济和社会发展第十四个五年规划和二</w:t>
      </w:r>
      <w:r>
        <w:rPr>
          <w:rFonts w:hint="eastAsia" w:ascii="微软雅黑" w:hAnsi="微软雅黑" w:eastAsia="微软雅黑" w:cs="微软雅黑"/>
        </w:rPr>
        <w:t>〇</w:t>
      </w:r>
      <w:r>
        <w:rPr>
          <w:rFonts w:hint="eastAsia"/>
        </w:rPr>
        <w:t>三五年远景目标纲要》《北京市“十四五”时期民政事业发展规划》《北京市大兴区国民经济和社会发展第十四个五年规划和二</w:t>
      </w:r>
      <w:r>
        <w:rPr>
          <w:rFonts w:hint="eastAsia" w:ascii="微软雅黑" w:hAnsi="微软雅黑" w:eastAsia="微软雅黑" w:cs="微软雅黑"/>
        </w:rPr>
        <w:t>〇</w:t>
      </w:r>
      <w:r>
        <w:rPr>
          <w:rFonts w:hint="eastAsia"/>
        </w:rPr>
        <w:t>三五年远景目标</w:t>
      </w:r>
      <w:r>
        <w:rPr>
          <w:rFonts w:hint="eastAsia" w:ascii="仿宋_GB2312" w:hAnsi="仿宋_GB2312" w:cs="仿宋_GB2312"/>
        </w:rPr>
        <w:t>纲要》《大兴分区规划（国土空间规划）（</w:t>
      </w:r>
      <w:r>
        <w:rPr>
          <w:rFonts w:hint="eastAsia" w:ascii="仿宋_GB2312"/>
        </w:rPr>
        <w:t>2017年—2035年）》等文件编制，结合大兴区民政事业发展面临的新形势，提出了“十四五”时期民政事业发展的总体要求、主要任务和保障措施，是全区“十四五”时期全面加强民政事业发展的基本蓝图和根本遵循。</w:t>
      </w:r>
    </w:p>
    <w:p>
      <w:pPr>
        <w:ind w:firstLine="640"/>
        <w:rPr>
          <w:rFonts w:ascii="仿宋_GB2312"/>
        </w:rPr>
      </w:pPr>
      <w:bookmarkStart w:id="5" w:name="_Hlk91245446"/>
      <w:r>
        <w:rPr>
          <w:rFonts w:hint="eastAsia" w:ascii="仿宋_GB2312"/>
        </w:rPr>
        <w:t>本规划期限为2021年</w:t>
      </w:r>
      <w:r>
        <w:rPr>
          <w:rFonts w:hint="eastAsia" w:ascii="仿宋_GB2312" w:hAnsi="宋体"/>
          <w:lang w:val="zh-CN"/>
        </w:rPr>
        <w:t>—</w:t>
      </w:r>
      <w:r>
        <w:rPr>
          <w:rFonts w:hint="eastAsia" w:ascii="仿宋_GB2312"/>
        </w:rPr>
        <w:t>2025年。</w:t>
      </w:r>
    </w:p>
    <w:bookmarkEnd w:id="5"/>
    <w:p>
      <w:pPr>
        <w:pStyle w:val="16"/>
        <w:rPr>
          <w:sz w:val="36"/>
          <w:szCs w:val="36"/>
        </w:rPr>
      </w:pPr>
      <w:bookmarkStart w:id="6" w:name="_Toc92172054"/>
      <w:bookmarkStart w:id="7" w:name="_Toc51553132"/>
      <w:bookmarkStart w:id="8" w:name="_Toc76637530"/>
      <w:r>
        <w:rPr>
          <w:rFonts w:hint="eastAsia"/>
          <w:sz w:val="36"/>
          <w:szCs w:val="36"/>
        </w:rPr>
        <w:t>第一部分</w:t>
      </w:r>
      <w:r>
        <w:rPr>
          <w:sz w:val="36"/>
          <w:szCs w:val="36"/>
        </w:rPr>
        <w:t xml:space="preserve"> </w:t>
      </w:r>
      <w:r>
        <w:rPr>
          <w:rFonts w:hint="eastAsia"/>
          <w:sz w:val="36"/>
          <w:szCs w:val="36"/>
        </w:rPr>
        <w:t>规划背景</w:t>
      </w:r>
      <w:bookmarkEnd w:id="6"/>
      <w:bookmarkEnd w:id="7"/>
      <w:bookmarkEnd w:id="8"/>
    </w:p>
    <w:p>
      <w:pPr>
        <w:pStyle w:val="4"/>
        <w:ind w:firstLine="643"/>
      </w:pPr>
      <w:bookmarkStart w:id="9" w:name="_Toc51553133"/>
      <w:bookmarkStart w:id="10" w:name="_Toc92172055"/>
      <w:bookmarkStart w:id="11" w:name="_Toc76637531"/>
      <w:bookmarkStart w:id="12" w:name="_Toc51553134"/>
      <w:r>
        <w:rPr>
          <w:rFonts w:hint="eastAsia"/>
        </w:rPr>
        <w:t>一、</w:t>
      </w:r>
      <w:bookmarkEnd w:id="9"/>
      <w:r>
        <w:rPr>
          <w:rFonts w:hint="eastAsia"/>
        </w:rPr>
        <w:t>筑牢基础</w:t>
      </w:r>
      <w:r>
        <w:t xml:space="preserve"> </w:t>
      </w:r>
      <w:r>
        <w:rPr>
          <w:rFonts w:hint="eastAsia"/>
        </w:rPr>
        <w:t>厚积薄发</w:t>
      </w:r>
      <w:bookmarkEnd w:id="10"/>
      <w:bookmarkEnd w:id="11"/>
    </w:p>
    <w:p>
      <w:pPr>
        <w:ind w:firstLine="600"/>
      </w:pPr>
      <w:r>
        <w:rPr>
          <w:rFonts w:hint="eastAsia"/>
          <w:sz w:val="30"/>
          <w:szCs w:val="30"/>
        </w:rPr>
        <w:t xml:space="preserve"> </w:t>
      </w:r>
      <w:r>
        <w:rPr>
          <w:rFonts w:hint="eastAsia"/>
        </w:rPr>
        <w:t>“十三五”时期，在大兴区委区政府的领导和决策部署下，大兴区聚焦脱贫攻坚，聚焦特殊群体，聚焦群众关切，不断深化民政民生领域改革，坚持“激发内生动力，强化功能执行；依托外生动力，助力产业发展”的理念，切实“兜底线、织密网、建机制”，群众有了更多获得感、幸福感和安全感，各项民政事业持续向好发展。</w:t>
      </w:r>
    </w:p>
    <w:bookmarkEnd w:id="12"/>
    <w:p>
      <w:pPr>
        <w:pStyle w:val="5"/>
        <w:ind w:firstLine="643"/>
        <w:rPr>
          <w:rFonts w:ascii="仿宋" w:hAnsi="仿宋"/>
          <w:sz w:val="32"/>
        </w:rPr>
      </w:pPr>
      <w:bookmarkStart w:id="13" w:name="_Toc92172056"/>
      <w:bookmarkStart w:id="14" w:name="_Toc76637532"/>
      <w:bookmarkStart w:id="15" w:name="_Toc51553135"/>
      <w:r>
        <w:rPr>
          <w:rFonts w:hint="eastAsia"/>
          <w:sz w:val="32"/>
        </w:rPr>
        <w:t>（一）社会福利保障不断健全</w:t>
      </w:r>
      <w:bookmarkEnd w:id="13"/>
      <w:bookmarkEnd w:id="14"/>
    </w:p>
    <w:p>
      <w:pPr>
        <w:ind w:firstLine="643"/>
        <w:rPr>
          <w:rFonts w:ascii="仿宋_GB2312" w:hAnsi="仿宋"/>
          <w:szCs w:val="32"/>
        </w:rPr>
      </w:pPr>
      <w:r>
        <w:rPr>
          <w:rFonts w:hint="eastAsia" w:ascii="仿宋_GB2312"/>
          <w:b/>
          <w:bCs/>
        </w:rPr>
        <w:t>儿童福利保障和服务更加完善。</w:t>
      </w:r>
      <w:r>
        <w:rPr>
          <w:rFonts w:hint="eastAsia" w:ascii="仿宋_GB2312"/>
        </w:rPr>
        <w:t>落实困境儿童生活费标准调整工作，目前每人每月已达2200元。落实社会散居孤儿“福彩圆梦·孤儿助学工程”，孤儿每人每学年享受1万元助学资金。强化基层儿童工作队伍建设，共有22名儿童督导员，715名村（社区）儿童主任，对基层儿童工作队伍开展全员培训。引入专业社工服务，开展“五位一体”困境儿童关爱服务保障项目。全面提升大兴区儿童福利院服务水平，针对在院集中养育孤弃儿童，引入儿童服务机构，提供专业的养育教康全方位服务；针对成年孤儿开展安置评估，建立职康站。</w:t>
      </w:r>
      <w:r>
        <w:rPr>
          <w:rFonts w:hint="eastAsia" w:ascii="仿宋_GB2312" w:hAnsi="仿宋"/>
          <w:b/>
          <w:bCs/>
          <w:szCs w:val="32"/>
        </w:rPr>
        <w:t>残疾人福利保障和服务稳步推进。</w:t>
      </w:r>
      <w:r>
        <w:rPr>
          <w:rFonts w:hint="eastAsia" w:ascii="仿宋_GB2312"/>
        </w:rPr>
        <w:t>扎实落实困难残疾人生活补贴和重度残疾人护理补贴政策，残疾人两项补贴累计发放45764.77万元。残疾人康复服务能力不断提升，有康复需求的残疾人接受康复服务覆盖率达到100%，2.9万名残疾人成功申领了辅助器具。精神障碍患者的集中收治能力得到改善，目前用于集中收治精神障碍患者的机构床位达到130张。</w:t>
      </w:r>
      <w:r>
        <w:rPr>
          <w:rFonts w:hint="eastAsia" w:ascii="仿宋_GB2312" w:hAnsi="仿宋"/>
          <w:b/>
          <w:bCs/>
          <w:szCs w:val="32"/>
        </w:rPr>
        <w:t>转非安置和超转人员接收服务保障工作有序开展。</w:t>
      </w:r>
      <w:r>
        <w:rPr>
          <w:rFonts w:hint="eastAsia" w:ascii="仿宋_GB2312"/>
        </w:rPr>
        <w:t>“十三五”期间共计接收超转人员9963人，占“十三五”末大兴区所有征地超转人员的53.8%，涉及10个镇，70余个村。超转人员生活补助标准及医疗标准不断调高，接收资金逐年增高。发放征地超转人员生活补助费18.91亿元，月均发放生活补贴约4458万元。</w:t>
      </w:r>
    </w:p>
    <w:p>
      <w:pPr>
        <w:pStyle w:val="5"/>
        <w:ind w:firstLine="643"/>
        <w:rPr>
          <w:rFonts w:ascii="仿宋" w:hAnsi="仿宋"/>
          <w:b w:val="0"/>
          <w:bCs w:val="0"/>
          <w:sz w:val="32"/>
        </w:rPr>
      </w:pPr>
      <w:bookmarkStart w:id="16" w:name="_Toc76637533"/>
      <w:bookmarkStart w:id="17" w:name="_Toc92172057"/>
      <w:r>
        <w:rPr>
          <w:rFonts w:hint="eastAsia"/>
          <w:sz w:val="32"/>
        </w:rPr>
        <w:t>（二）社会救助服务</w:t>
      </w:r>
      <w:bookmarkEnd w:id="16"/>
      <w:r>
        <w:rPr>
          <w:rFonts w:hint="eastAsia"/>
          <w:sz w:val="32"/>
        </w:rPr>
        <w:t>提质增效</w:t>
      </w:r>
      <w:bookmarkEnd w:id="17"/>
    </w:p>
    <w:p>
      <w:pPr>
        <w:ind w:firstLine="643"/>
        <w:rPr>
          <w:rFonts w:ascii="仿宋_GB2312" w:hAnsi="仿宋"/>
          <w:szCs w:val="32"/>
        </w:rPr>
      </w:pPr>
      <w:r>
        <w:rPr>
          <w:rFonts w:hint="eastAsia" w:ascii="仿宋_GB2312" w:hAnsi="仿宋"/>
          <w:b/>
          <w:bCs/>
          <w:szCs w:val="32"/>
        </w:rPr>
        <w:t>救助标准不断提高</w:t>
      </w:r>
      <w:r>
        <w:rPr>
          <w:rFonts w:hint="eastAsia" w:ascii="仿宋_GB2312" w:hAnsi="仿宋" w:cs="仿宋"/>
          <w:szCs w:val="32"/>
        </w:rPr>
        <w:t>。</w:t>
      </w:r>
      <w:r>
        <w:rPr>
          <w:rFonts w:hint="eastAsia" w:ascii="仿宋_GB2312"/>
        </w:rPr>
        <w:t>城乡低保标准由月人均800元上升到1170元，城乡低收入标准由月人均1050元上升到2200元。特困人员救助供养标准动态上升并实现城乡救助标准统一，农村五保救助供养标准和城市特困人员救助供养标准由2016年的年人均12743元、24382元，提高到2020年的城乡年人均43038元。</w:t>
      </w:r>
      <w:r>
        <w:rPr>
          <w:rFonts w:hint="eastAsia" w:ascii="仿宋_GB2312" w:hAnsi="仿宋"/>
          <w:b/>
          <w:bCs/>
          <w:szCs w:val="32"/>
        </w:rPr>
        <w:t>救助服务更加精准高效。</w:t>
      </w:r>
      <w:r>
        <w:rPr>
          <w:rFonts w:hint="eastAsia" w:ascii="仿宋_GB2312"/>
        </w:rPr>
        <w:t>全面建立镇（街）困难群众救助服务所，实现全覆盖，形成了市、区、镇（街）三级联动的救助服务工作新格局。建立困难群众主动发现机制，困难群众救助帮扶建档率为100%，救助各类流浪乞讨人员4044人，生活不能自理特困人员集中供养率完成62.68%的目标。救助服务注重多元化需求，针对典型家庭开展社会工作专业个案服务，帮助困难家庭解决就餐、就业等实际问题，针对新申请社会救助对象开展走访、建档和回访工作，实现动态监管。加强社会救助信息管理，逐步实现“一网通办”受理模式，改变系统审批和纸质材料审批“两张皮”情况。</w:t>
      </w:r>
      <w:r>
        <w:rPr>
          <w:rFonts w:hint="eastAsia" w:ascii="仿宋_GB2312" w:hAnsi="仿宋"/>
          <w:b/>
          <w:bCs/>
          <w:szCs w:val="32"/>
        </w:rPr>
        <w:t>救助服务资源更加整合。</w:t>
      </w:r>
      <w:r>
        <w:rPr>
          <w:rFonts w:hint="eastAsia" w:ascii="仿宋_GB2312"/>
        </w:rPr>
        <w:t>北京市救助管理总站搬迁入驻，区救助管理站入驻市救助管理总站，北京市未成年人救助保护中心、第二未成年人救助保护中心正式运营。</w:t>
      </w:r>
    </w:p>
    <w:bookmarkEnd w:id="15"/>
    <w:p>
      <w:pPr>
        <w:pStyle w:val="5"/>
        <w:ind w:firstLine="643"/>
        <w:rPr>
          <w:rFonts w:ascii="仿宋" w:hAnsi="仿宋"/>
          <w:b w:val="0"/>
          <w:bCs w:val="0"/>
          <w:sz w:val="32"/>
        </w:rPr>
      </w:pPr>
      <w:bookmarkStart w:id="18" w:name="_Toc92172058"/>
      <w:bookmarkStart w:id="19" w:name="_Toc76637535"/>
      <w:bookmarkStart w:id="20" w:name="_Toc51553137"/>
      <w:r>
        <w:rPr>
          <w:rFonts w:hint="eastAsia"/>
          <w:sz w:val="32"/>
        </w:rPr>
        <w:t>（三）养老服务工作有序发展</w:t>
      </w:r>
      <w:bookmarkEnd w:id="18"/>
    </w:p>
    <w:p>
      <w:pPr>
        <w:ind w:firstLine="643"/>
        <w:rPr>
          <w:rFonts w:ascii="仿宋_GB2312"/>
        </w:rPr>
      </w:pPr>
      <w:r>
        <w:rPr>
          <w:rFonts w:hint="eastAsia" w:ascii="仿宋_GB2312"/>
          <w:b/>
          <w:bCs/>
        </w:rPr>
        <w:t>基本养老服务制度更加健全。</w:t>
      </w:r>
      <w:r>
        <w:rPr>
          <w:rFonts w:hint="eastAsia" w:ascii="仿宋_GB2312"/>
        </w:rPr>
        <w:t>困境老人兜底保障和福利待遇不断完善，共计为128万余人次发放养老助残补贴及高龄津贴22526.51万元。巡视探访服务机制逐步完善。“三边四级”服务体系更加成熟。初步建成以镇（街）养老照料中心为主，村（社区）养老服务驿站为辅，养老机构为补充</w:t>
      </w:r>
      <w:r>
        <w:rPr>
          <w:rFonts w:hint="eastAsia" w:ascii="仿宋_GB2312" w:hAnsi="仿宋"/>
          <w:szCs w:val="32"/>
        </w:rPr>
        <w:t>的</w:t>
      </w:r>
      <w:r>
        <w:rPr>
          <w:rFonts w:hint="eastAsia" w:ascii="仿宋_GB2312"/>
        </w:rPr>
        <w:t>养老服务设施体系。2020年底，全区共有186家养老服务机构。社会力量参与度明显提高。养老服务行业协会和老龄产业协会积极作为，与多家央企、国企签署战略合作协议，推动养老服务业向专业化、连锁化、品牌化发展，2020年底养老机构医疗服务覆盖率达到77%。服务质量和监管能力不断提升。开展养老机构服务质量专项行动，落实养老机构服务质量星级评定工作。建立养老护理人员培训机制，进一步提升护理人员服务水平。发挥行业监管职能，委托区级养老行业协会对全区养老机构开展安全检查、质量监管等。以北臧村镇、魏善庄镇、清源街道为试点，推动智慧养老全覆盖，借助智慧化、信息化方式，打造养老服务和监管的新格局。</w:t>
      </w:r>
    </w:p>
    <w:p>
      <w:pPr>
        <w:pStyle w:val="5"/>
        <w:ind w:firstLine="643"/>
        <w:rPr>
          <w:rFonts w:ascii="仿宋" w:hAnsi="仿宋"/>
          <w:b w:val="0"/>
          <w:bCs w:val="0"/>
          <w:sz w:val="32"/>
        </w:rPr>
      </w:pPr>
      <w:bookmarkStart w:id="21" w:name="_Toc92172059"/>
      <w:r>
        <w:rPr>
          <w:rFonts w:hint="eastAsia"/>
          <w:sz w:val="32"/>
        </w:rPr>
        <w:t>（四）社会事务领域更加惠民</w:t>
      </w:r>
      <w:bookmarkEnd w:id="19"/>
      <w:bookmarkEnd w:id="20"/>
      <w:bookmarkEnd w:id="21"/>
    </w:p>
    <w:p>
      <w:pPr>
        <w:ind w:firstLine="643"/>
        <w:rPr>
          <w:rFonts w:ascii="仿宋_GB2312" w:hAnsi="仿宋"/>
          <w:szCs w:val="32"/>
        </w:rPr>
      </w:pPr>
      <w:r>
        <w:rPr>
          <w:rFonts w:hint="eastAsia" w:ascii="仿宋_GB2312" w:hAnsi="仿宋"/>
          <w:b/>
          <w:bCs/>
          <w:szCs w:val="32"/>
        </w:rPr>
        <w:t>婚登服务优质创新发展。</w:t>
      </w:r>
      <w:r>
        <w:rPr>
          <w:rFonts w:hint="eastAsia" w:ascii="仿宋_GB2312"/>
        </w:rPr>
        <w:t>巩固“和谐婚姻家庭示范区”创建成果，荣获“北京市5A级婚姻登记机关”称号。推进婚姻登记档案电子化，联合卫健委推出免费“婚育健康服务包”，开展“婚登婚检一站式”服务，联合妇儿工委、法院、司法局成立“一轴多翼”家事调解与家事审判对接机制。</w:t>
      </w:r>
      <w:r>
        <w:rPr>
          <w:rFonts w:hint="eastAsia" w:ascii="仿宋_GB2312" w:hAnsi="仿宋"/>
          <w:b/>
          <w:bCs/>
          <w:szCs w:val="32"/>
        </w:rPr>
        <w:t>殡葬服务改革稳步推进。</w:t>
      </w:r>
      <w:r>
        <w:rPr>
          <w:rFonts w:hint="eastAsia" w:ascii="仿宋_GB2312"/>
        </w:rPr>
        <w:t>在全市率先启动殡葬改革，全面落实惠民政策。率先制定殡葬设施专项规划，全面优化设施布局，“十三五”末大兴区共有经营性公墓2处、镇级公墓12处、镇级骨灰堂4个。率先启动“三沿五区”范围内散坟治理，全面推进绿色殡葬，完成散坟迁移约9000个，占大兴区散坟总数的60%。率先成立殡葬行业协会，引导支持各镇（街）成立红白理事会，全面推动移风易俗。率先取消医疗机构太平间，全面净化殡葬市场。</w:t>
      </w:r>
      <w:r>
        <w:rPr>
          <w:rFonts w:hint="eastAsia" w:ascii="仿宋_GB2312" w:hAnsi="仿宋"/>
          <w:b/>
          <w:bCs/>
          <w:szCs w:val="32"/>
        </w:rPr>
        <w:t>社会心理服务体系初步建立。</w:t>
      </w:r>
      <w:r>
        <w:rPr>
          <w:rFonts w:hint="eastAsia" w:ascii="仿宋_GB2312"/>
        </w:rPr>
        <w:t>构建镇（街）、社区两级工作网络，建成社区心理服务站（中心）5个。提供线上心理咨询和心理危机干预服务，开发设计心理健康测评和筛查系统，建立心理健康档案，实现心理健康预警和整个辖区社会心理舆情的动态监管。</w:t>
      </w:r>
      <w:r>
        <w:rPr>
          <w:rFonts w:hint="eastAsia" w:ascii="仿宋_GB2312" w:hAnsi="仿宋"/>
          <w:b/>
          <w:bCs/>
          <w:szCs w:val="32"/>
        </w:rPr>
        <w:t>慈善彩票事业持续开拓进取。</w:t>
      </w:r>
      <w:r>
        <w:rPr>
          <w:rFonts w:hint="eastAsia" w:ascii="仿宋_GB2312"/>
        </w:rPr>
        <w:t>开展社会捐助站点“五个一”规范化建设，创新慈善超市建设及运营模式，将20家慈善超市同时设立为捐赠物资的接收点。“十三五”期间，接受现金捐赠562.8万元，实物捐赠38.4万件。魏善庄镇赵庄子村与中国金谷信托有限公司成功签订全国首单群众性互助基金信托服务。落实福利彩票新销售站建设和布局调整。</w:t>
      </w:r>
      <w:r>
        <w:rPr>
          <w:rFonts w:hint="eastAsia" w:ascii="仿宋_GB2312" w:hAnsi="仿宋"/>
          <w:b/>
          <w:bCs/>
          <w:szCs w:val="32"/>
        </w:rPr>
        <w:t>见义勇为工作弘扬正气。</w:t>
      </w:r>
      <w:r>
        <w:rPr>
          <w:rFonts w:hint="eastAsia" w:ascii="仿宋_GB2312"/>
        </w:rPr>
        <w:t>通过“燃灯者”见义勇为英雄潘月兰主题雕塑，在全社会大力弘扬见义勇为正能量。对见义勇为牺牲人员及直系亲属或生活困难的伤残人员实施救助，落实见义勇为人员身体检查、疗养等工作。</w:t>
      </w:r>
    </w:p>
    <w:p>
      <w:pPr>
        <w:pStyle w:val="5"/>
        <w:ind w:firstLine="643"/>
        <w:rPr>
          <w:sz w:val="32"/>
        </w:rPr>
      </w:pPr>
      <w:bookmarkStart w:id="22" w:name="_Toc92172060"/>
      <w:r>
        <w:rPr>
          <w:rFonts w:hint="eastAsia"/>
          <w:sz w:val="32"/>
        </w:rPr>
        <w:t>（五）社会建设工作统筹推进</w:t>
      </w:r>
      <w:bookmarkEnd w:id="22"/>
    </w:p>
    <w:p>
      <w:pPr>
        <w:ind w:firstLine="643"/>
        <w:rPr>
          <w:rFonts w:ascii="仿宋" w:hAnsi="仿宋"/>
          <w:szCs w:val="32"/>
        </w:rPr>
      </w:pPr>
      <w:r>
        <w:rPr>
          <w:rFonts w:hint="eastAsia" w:ascii="仿宋" w:hAnsi="仿宋"/>
          <w:b/>
          <w:bCs/>
          <w:szCs w:val="32"/>
        </w:rPr>
        <w:t>稳步推进新时代街道工作改革</w:t>
      </w:r>
      <w:r>
        <w:rPr>
          <w:rFonts w:hint="eastAsia" w:ascii="仿宋" w:hAnsi="仿宋"/>
          <w:szCs w:val="32"/>
        </w:rPr>
        <w:t>，</w:t>
      </w:r>
      <w:r>
        <w:rPr>
          <w:rFonts w:hint="eastAsia"/>
        </w:rPr>
        <w:t>强化顶层设计，制定《大兴区关于加强新时代街道工作的意见》《大兴区关于创建“宜居社区”的工作意见》，加强和改进街道工作。巩固基层政权建设，村和社区“两委”换届预期目标圆满完成，加快推进城乡结合部撤村建居工作，修订完善村规民约。</w:t>
      </w:r>
      <w:r>
        <w:rPr>
          <w:rFonts w:hint="eastAsia" w:ascii="仿宋" w:hAnsi="仿宋"/>
          <w:b/>
          <w:bCs/>
          <w:szCs w:val="32"/>
        </w:rPr>
        <w:t>深化协管员队伍改革，</w:t>
      </w:r>
      <w:r>
        <w:rPr>
          <w:rFonts w:hint="eastAsia"/>
        </w:rPr>
        <w:t>按照“一人多岗、多责多酬、权责对等、做实网格、量化考核、强化监督”的总体要求，制发重点工作任务，完善下沉配套机制。推进城市协管员队伍管理体制改革，对人员整合、人员选聘、职责划分、网格管理等工作机制进行梳理、研究、实践。</w:t>
      </w:r>
      <w:r>
        <w:rPr>
          <w:rFonts w:hint="eastAsia"/>
          <w:b/>
          <w:bCs/>
        </w:rPr>
        <w:t>高效落实“接诉即办”</w:t>
      </w:r>
      <w:r>
        <w:rPr>
          <w:rFonts w:hint="eastAsia"/>
        </w:rPr>
        <w:t>，综合排名稳居全市前列，万人诉求量保持全市最低，解决了房产证办理等一批难题。</w:t>
      </w:r>
    </w:p>
    <w:p>
      <w:pPr>
        <w:pStyle w:val="5"/>
        <w:ind w:firstLine="643"/>
        <w:rPr>
          <w:rFonts w:ascii="仿宋" w:hAnsi="仿宋"/>
          <w:sz w:val="32"/>
        </w:rPr>
      </w:pPr>
      <w:bookmarkStart w:id="23" w:name="_Toc92172061"/>
      <w:r>
        <w:rPr>
          <w:rFonts w:hint="eastAsia"/>
          <w:sz w:val="32"/>
        </w:rPr>
        <w:t>（六）社会治理水平显著提升</w:t>
      </w:r>
      <w:bookmarkEnd w:id="23"/>
    </w:p>
    <w:p>
      <w:pPr>
        <w:ind w:firstLine="640"/>
        <w:rPr>
          <w:rFonts w:ascii="仿宋_GB2312"/>
        </w:rPr>
      </w:pPr>
      <w:r>
        <w:rPr>
          <w:rFonts w:hint="eastAsia" w:ascii="仿宋_GB2312"/>
        </w:rPr>
        <w:t>大兴区委社会工委、区民政局合署办公，为更高效实施社会治理提供了新机遇。</w:t>
      </w:r>
      <w:r>
        <w:rPr>
          <w:rFonts w:hint="eastAsia" w:ascii="仿宋_GB2312"/>
          <w:b/>
          <w:bCs/>
        </w:rPr>
        <w:t>创新提出“物业超市”</w:t>
      </w:r>
      <w:r>
        <w:rPr>
          <w:rFonts w:hint="eastAsia" w:ascii="仿宋_GB2312"/>
        </w:rPr>
        <w:t>，制定《大兴区关于推进城乡社区物业管理全覆盖完善社区治理体系的实施意见》，总结提炼不同物业管理模式，为全区无物业小区引入规范物业管理提供可选项，实现全区56个无物业小区物业管理全覆盖。</w:t>
      </w:r>
      <w:r>
        <w:rPr>
          <w:rFonts w:hint="eastAsia" w:ascii="仿宋_GB2312"/>
          <w:b/>
          <w:bCs/>
        </w:rPr>
        <w:t>推动老旧小区有机更新</w:t>
      </w:r>
      <w:r>
        <w:rPr>
          <w:rFonts w:hint="eastAsia" w:ascii="仿宋_GB2312"/>
        </w:rPr>
        <w:t>，引入社会资本愿景集团，以清源街道枣园社区、兴丰街道三合南里社区为试点，开创“片区统筹、街区更新”的老旧小区有机更新“大兴模式”。开展闲置配电室、锅炉房、社区公园等改造项目，引入商超、餐饮、书吧、体育等便民服务业态，点面递进推动城市更新。</w:t>
      </w:r>
      <w:r>
        <w:rPr>
          <w:rFonts w:hint="eastAsia" w:ascii="仿宋_GB2312"/>
          <w:b/>
          <w:bCs/>
        </w:rPr>
        <w:t>打造大兴特色“拉家常”议事会品牌</w:t>
      </w:r>
      <w:r>
        <w:rPr>
          <w:rFonts w:hint="eastAsia" w:ascii="仿宋_GB2312"/>
        </w:rPr>
        <w:t>，深化居民议事厅建设，建立“镇（街）-村（社区）-楼门（院）”三级平台体系，初步形成“小事不出楼门、大事不出社区、难事不出镇街”的治理格局。</w:t>
      </w:r>
      <w:r>
        <w:rPr>
          <w:rFonts w:hint="eastAsia" w:ascii="仿宋_GB2312"/>
          <w:b/>
          <w:bCs/>
        </w:rPr>
        <w:t>培育和发展社会治理主体</w:t>
      </w:r>
      <w:r>
        <w:rPr>
          <w:rFonts w:hint="eastAsia" w:ascii="仿宋_GB2312"/>
        </w:rPr>
        <w:t>，构建社会治理行业协会格局，发挥行业协会引领作用。2020年底，全区拥有社会组织611个，社区工作者持社会工作职业水平证书比率达到39%，实名注册志愿者人数占全区常住人口的40%。</w:t>
      </w:r>
    </w:p>
    <w:p>
      <w:pPr>
        <w:pStyle w:val="4"/>
        <w:ind w:firstLine="643"/>
      </w:pPr>
      <w:bookmarkStart w:id="24" w:name="_Toc76637536"/>
      <w:bookmarkStart w:id="25" w:name="_Toc51553138"/>
      <w:bookmarkStart w:id="26" w:name="_Toc92172062"/>
      <w:r>
        <w:rPr>
          <w:rFonts w:hint="eastAsia"/>
        </w:rPr>
        <w:t>二、</w:t>
      </w:r>
      <w:bookmarkEnd w:id="24"/>
      <w:bookmarkEnd w:id="25"/>
      <w:r>
        <w:rPr>
          <w:rFonts w:hint="eastAsia"/>
        </w:rPr>
        <w:t>善育先机</w:t>
      </w:r>
      <w:r>
        <w:t xml:space="preserve"> </w:t>
      </w:r>
      <w:r>
        <w:rPr>
          <w:rFonts w:hint="eastAsia"/>
        </w:rPr>
        <w:t>勇开新局</w:t>
      </w:r>
      <w:bookmarkEnd w:id="26"/>
    </w:p>
    <w:p>
      <w:pPr>
        <w:ind w:firstLine="640"/>
      </w:pPr>
      <w:r>
        <w:rPr>
          <w:rFonts w:hint="eastAsia" w:ascii="仿宋" w:hAnsi="仿宋"/>
          <w:szCs w:val="32"/>
        </w:rPr>
        <w:t>“</w:t>
      </w:r>
      <w:r>
        <w:rPr>
          <w:rFonts w:hint="eastAsia"/>
        </w:rPr>
        <w:t>十四五”时期，世界百年未有之大变局与我国现代化建设新征程相互交融，大兴区民政事业迈入全面建设社会主义现代化的新阶段，发展机遇与挑战同在，危机与优势并存，必须面向未来，深入研判形势，抢抓发展机遇，积极应对挑战，在危机中育先机、于变局中开新局，凝聚推动民政事业高质量发展的强大合力，不断开拓高质量现代民政建设新境界，</w:t>
      </w:r>
      <w:r>
        <w:t>为全</w:t>
      </w:r>
      <w:r>
        <w:rPr>
          <w:rFonts w:hint="eastAsia"/>
        </w:rPr>
        <w:t>区</w:t>
      </w:r>
      <w:r>
        <w:t>经济社会发展提供坚实保障。</w:t>
      </w:r>
    </w:p>
    <w:p>
      <w:pPr>
        <w:pStyle w:val="5"/>
        <w:ind w:firstLine="643"/>
        <w:rPr>
          <w:rFonts w:ascii="仿宋" w:hAnsi="仿宋"/>
          <w:b w:val="0"/>
          <w:bCs w:val="0"/>
          <w:sz w:val="32"/>
        </w:rPr>
      </w:pPr>
      <w:bookmarkStart w:id="27" w:name="_Toc92172063"/>
      <w:r>
        <w:rPr>
          <w:rFonts w:hint="eastAsia"/>
          <w:sz w:val="32"/>
        </w:rPr>
        <w:t>（一）发展机遇</w:t>
      </w:r>
      <w:bookmarkEnd w:id="27"/>
    </w:p>
    <w:p>
      <w:pPr>
        <w:ind w:firstLine="643"/>
        <w:rPr>
          <w:rFonts w:ascii="仿宋_GB2312" w:hAnsi="仿宋"/>
          <w:szCs w:val="32"/>
        </w:rPr>
      </w:pPr>
      <w:r>
        <w:rPr>
          <w:rFonts w:hint="eastAsia" w:ascii="仿宋_GB2312" w:hAnsi="仿宋"/>
          <w:b/>
          <w:bCs/>
          <w:szCs w:val="32"/>
        </w:rPr>
        <w:t>习近平新时代中国特色社会主义思想为新时代民政事业发展指明了新航向。</w:t>
      </w:r>
      <w:r>
        <w:rPr>
          <w:rFonts w:hint="eastAsia" w:ascii="仿宋_GB2312"/>
        </w:rPr>
        <w:t>习近平总书记指出，“民政工作关系民生、连着民心，是社会建设的兜底性、基础性工作”，“各级民政部门要加强党的建设，坚持改革创新，聚焦脱贫攻坚，聚焦特殊群体，聚焦群众关切，更好履行基本民生保障、基层社会治理、基本社会服务等职责，为全面建成小康社会、全面建设社会主义现代化国家作出新的贡献”。习近平总书记的重要指示深刻指出了新时代民政工作的地位作用、基本职责、根本保障、发展动力和使命任务，指明了民政改革发展的方向，为新时代民政事业发展提供了根本遵循。</w:t>
      </w:r>
    </w:p>
    <w:p>
      <w:pPr>
        <w:ind w:firstLine="643"/>
        <w:rPr>
          <w:rFonts w:ascii="仿宋_GB2312"/>
        </w:rPr>
      </w:pPr>
      <w:r>
        <w:rPr>
          <w:rFonts w:hint="eastAsia" w:ascii="仿宋_GB2312" w:hAnsi="仿宋" w:cs="宋体"/>
          <w:b/>
          <w:bCs/>
          <w:kern w:val="0"/>
          <w:szCs w:val="32"/>
        </w:rPr>
        <w:t>首都发展的重要决策部署为新时代民政事业发展描绘了新蓝图。</w:t>
      </w:r>
      <w:r>
        <w:rPr>
          <w:rFonts w:hint="eastAsia" w:ascii="仿宋_GB2312"/>
        </w:rPr>
        <w:t>进入新发展阶段，市委市政府把民政工作摆在更加突出的重要位置，提出“大民政”理念，切实加强党的领导，加大投入，改善民生，统筹推进首都民政工作。《北京市国民经济和社会发展第十四个五年规划和二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三五年远景目标纲要》</w:t>
      </w:r>
      <w:r>
        <w:rPr>
          <w:rFonts w:hint="eastAsia" w:ascii="仿宋_GB2312"/>
        </w:rPr>
        <w:t>对民政工作作出了战略部署和系统安排，围绕首都城市战略定位，紧扣首都高质量发展的新要求，提出了实现民生福祉以及首都治理体系和治理能力现代化水平明显提升的目标，为不断健全基本民生保障制度体系，加快形成共建共治共享的基层社会治理新格局，推动基本社会服务更加均等可及，更好发挥民政在社会建设中的兜底性、基础性作用作出了顶层设计。</w:t>
      </w:r>
    </w:p>
    <w:p>
      <w:pPr>
        <w:ind w:firstLine="643"/>
        <w:rPr>
          <w:rFonts w:ascii="仿宋_GB2312"/>
        </w:rPr>
      </w:pPr>
      <w:r>
        <w:rPr>
          <w:rFonts w:hint="eastAsia" w:ascii="仿宋_GB2312"/>
          <w:b/>
          <w:bCs/>
        </w:rPr>
        <w:t>大兴区经济社会发展为新时代民政事业发展注入了新动力。</w:t>
      </w:r>
      <w:r>
        <w:rPr>
          <w:rFonts w:hint="eastAsia" w:ascii="仿宋_GB2312"/>
        </w:rPr>
        <w:t>大兴区作为首都发展的新空间，“三区一门户”的功能显著增强。“十四五”时期，大兴区疏解与承接并行，产业发展空间广阔，平原新城建设提速，实现跨越式发展的条件已经具备，民政事业发展的经济社会基础更加坚实。同时，随着云计算、虚拟现实（VR）、区块链、人工智能等创新技术的广泛应用，民政事业发展将迎来深层次、全方位的改变。</w:t>
      </w:r>
    </w:p>
    <w:p>
      <w:pPr>
        <w:pStyle w:val="5"/>
        <w:ind w:firstLine="643"/>
        <w:rPr>
          <w:rFonts w:ascii="仿宋" w:hAnsi="仿宋"/>
          <w:sz w:val="32"/>
        </w:rPr>
      </w:pPr>
      <w:bookmarkStart w:id="28" w:name="_Toc92172064"/>
      <w:r>
        <w:rPr>
          <w:rFonts w:hint="eastAsia"/>
          <w:sz w:val="32"/>
        </w:rPr>
        <w:t>（二）面临挑战</w:t>
      </w:r>
      <w:bookmarkEnd w:id="28"/>
    </w:p>
    <w:p>
      <w:pPr>
        <w:ind w:firstLine="643"/>
      </w:pPr>
      <w:r>
        <w:rPr>
          <w:rFonts w:hint="eastAsia"/>
          <w:b/>
          <w:bCs/>
        </w:rPr>
        <w:t>外部环境不稳定。</w:t>
      </w:r>
      <w:r>
        <w:rPr>
          <w:rFonts w:hint="eastAsia"/>
        </w:rPr>
        <w:t>当前受新冠肺炎疫情等突发公共事件的影响，经济下行压力加大，民政事业发展的外部支持环境形势严峻。基本民生保障任务在经济发展新常态下更加繁重，要切实发挥民政兜底保障作用，防止规模性返贫，推动实现全体人民共同富裕。</w:t>
      </w:r>
    </w:p>
    <w:p>
      <w:pPr>
        <w:ind w:firstLine="643"/>
      </w:pPr>
      <w:r>
        <w:rPr>
          <w:rFonts w:hint="eastAsia"/>
          <w:b/>
          <w:bCs/>
        </w:rPr>
        <w:t>基本民生保障的要求更高。</w:t>
      </w:r>
      <w:r>
        <w:rPr>
          <w:rFonts w:hint="eastAsia"/>
        </w:rPr>
        <w:t>“十四五”时期，社会发展呈现经济发展方式转变、城市化进程加快和人口老龄化加速等趋势，发展不平衡不充分与人民日益增长的美好生活需要矛盾突出，基本民生保障、基层社会治理和基本社会服务仍然存在短板弱项，需要加快补短板、堵漏洞、强弱项。</w:t>
      </w:r>
    </w:p>
    <w:p>
      <w:pPr>
        <w:ind w:firstLine="643"/>
        <w:rPr>
          <w:rFonts w:ascii="仿宋" w:hAnsi="仿宋" w:cs="宋体"/>
          <w:kern w:val="0"/>
          <w:szCs w:val="32"/>
        </w:rPr>
      </w:pPr>
      <w:r>
        <w:rPr>
          <w:rFonts w:hint="eastAsia" w:ascii="仿宋" w:hAnsi="仿宋" w:cs="宋体"/>
          <w:b/>
          <w:bCs/>
          <w:kern w:val="0"/>
          <w:szCs w:val="32"/>
        </w:rPr>
        <w:t>基层治理的体系亟待创新。</w:t>
      </w:r>
      <w:r>
        <w:rPr>
          <w:rFonts w:hint="eastAsia"/>
        </w:rPr>
        <w:t>“十四五”时期，大兴区城乡发展深化改革先行区建设的持续推进，对进一步完善城镇基层社会治理体系提出了新的更高要求，城乡结合部的治理任务更加突显，亟需探索推广一批基层治理的微改革、微创新经验。新冠肺炎疫情防控中，基层组织和社会力量发挥了</w:t>
      </w:r>
      <w:r>
        <w:rPr>
          <w:rFonts w:hint="eastAsia" w:ascii="仿宋" w:hAnsi="仿宋" w:cs="宋体"/>
          <w:kern w:val="0"/>
          <w:szCs w:val="32"/>
        </w:rPr>
        <w:t>重要作用，也暴露出社区治理等领域还存在诸多薄弱环节。在疫情防控常态化阶段，亟需建立健全社会动员和公众参与机制，激发居民参与基层社会治理的活力。</w:t>
      </w:r>
    </w:p>
    <w:p>
      <w:pPr>
        <w:pStyle w:val="16"/>
        <w:rPr>
          <w:sz w:val="36"/>
          <w:szCs w:val="36"/>
        </w:rPr>
      </w:pPr>
      <w:bookmarkStart w:id="29" w:name="_Toc1621565309"/>
      <w:bookmarkEnd w:id="29"/>
      <w:bookmarkStart w:id="30" w:name="_Toc84839647"/>
      <w:bookmarkEnd w:id="30"/>
      <w:bookmarkStart w:id="31" w:name="_Toc972384986"/>
      <w:bookmarkEnd w:id="31"/>
      <w:bookmarkStart w:id="32" w:name="_Toc4437242"/>
      <w:bookmarkEnd w:id="32"/>
      <w:bookmarkStart w:id="33" w:name="_Toc550039430"/>
      <w:bookmarkEnd w:id="33"/>
      <w:bookmarkStart w:id="34" w:name="_Toc1196084068"/>
      <w:bookmarkEnd w:id="34"/>
      <w:bookmarkStart w:id="35" w:name="_Toc81291721"/>
      <w:bookmarkEnd w:id="35"/>
      <w:bookmarkStart w:id="36" w:name="_Toc902696492"/>
      <w:bookmarkEnd w:id="36"/>
      <w:bookmarkStart w:id="37" w:name="_Toc92172065"/>
      <w:bookmarkStart w:id="38" w:name="_Toc51553142"/>
      <w:bookmarkStart w:id="39" w:name="_Toc76637540"/>
      <w:r>
        <w:rPr>
          <w:rFonts w:hint="eastAsia"/>
          <w:sz w:val="36"/>
          <w:szCs w:val="36"/>
        </w:rPr>
        <w:t>第二部分 “十四五”时期总体要求</w:t>
      </w:r>
      <w:bookmarkEnd w:id="37"/>
      <w:bookmarkEnd w:id="38"/>
      <w:bookmarkEnd w:id="39"/>
    </w:p>
    <w:p>
      <w:pPr>
        <w:pStyle w:val="4"/>
        <w:ind w:firstLine="643"/>
      </w:pPr>
      <w:bookmarkStart w:id="40" w:name="_Toc51553143"/>
      <w:bookmarkStart w:id="41" w:name="_Toc76637541"/>
      <w:bookmarkStart w:id="42" w:name="_Toc92172066"/>
      <w:r>
        <w:rPr>
          <w:rFonts w:hint="eastAsia"/>
        </w:rPr>
        <w:t>一、指导思想</w:t>
      </w:r>
      <w:bookmarkEnd w:id="40"/>
      <w:bookmarkEnd w:id="41"/>
      <w:bookmarkEnd w:id="42"/>
    </w:p>
    <w:p>
      <w:pPr>
        <w:ind w:firstLine="640"/>
      </w:pPr>
      <w:bookmarkStart w:id="43" w:name="_Toc51553144"/>
      <w:r>
        <w:rPr>
          <w:rFonts w:hint="eastAsia"/>
        </w:rPr>
        <w:t>以习近平新时代中国特色社会主义思想为指导，以习近平总书记对民政工作的重要批示、重要论述为根本遵循，深入贯彻党的十九大和十九届二中、三中、四中、五中、六中全会精神，认真落实习近平总书记视察北京重要讲话精神，深入落实第十四次全国民政会议以及第十三次北京民政会议精神，聚焦“新国门·新大兴”建设，牢固树立以人民为中心的发展思想，坚持新发展理念，践行“民政为民、民政爱民”工作理念，聚焦群众“七有”“五性”需求，切实履行好基本民生保障、基层社会治理、基本社会服务等职责，推进民政治理体系和治理能力现代化。</w:t>
      </w:r>
    </w:p>
    <w:p>
      <w:pPr>
        <w:pStyle w:val="4"/>
        <w:ind w:firstLine="643"/>
      </w:pPr>
      <w:bookmarkStart w:id="44" w:name="_Toc92172067"/>
      <w:bookmarkStart w:id="45" w:name="_Toc76637542"/>
      <w:r>
        <w:rPr>
          <w:rFonts w:hint="eastAsia"/>
        </w:rPr>
        <w:t>二、基本原则</w:t>
      </w:r>
      <w:bookmarkEnd w:id="43"/>
      <w:bookmarkEnd w:id="44"/>
      <w:bookmarkEnd w:id="45"/>
    </w:p>
    <w:p>
      <w:pPr>
        <w:ind w:firstLine="643"/>
      </w:pPr>
      <w:r>
        <w:rPr>
          <w:rFonts w:hint="eastAsia"/>
          <w:b/>
          <w:bCs/>
        </w:rPr>
        <w:t>坚持政府主导和社会参与结合。</w:t>
      </w:r>
      <w:r>
        <w:rPr>
          <w:rFonts w:hint="eastAsia"/>
        </w:rPr>
        <w:t>既要坚持民政事业公益性的基本属性，加大政府投入，提高政府投入效益，也要注重发挥市场配置资源决定性作用，鼓励和吸引社会力量参与民政事业，满足群众多样化和多层次需求。</w:t>
      </w:r>
    </w:p>
    <w:p>
      <w:pPr>
        <w:ind w:firstLine="643"/>
      </w:pPr>
      <w:r>
        <w:rPr>
          <w:rFonts w:hint="eastAsia"/>
          <w:b/>
          <w:bCs/>
        </w:rPr>
        <w:t>坚持立足需求和解决问题导向。</w:t>
      </w:r>
      <w:r>
        <w:rPr>
          <w:rFonts w:hint="eastAsia"/>
        </w:rPr>
        <w:t>民政事业贴近群众最关心、最直接、最现实的利益问题，要始终把实现好、维护好、发展好群众的根本利益作为工作的出发点和落脚点，把群众的需求放在第一位，把工作的落脚点放在群众得实惠上、放在提升群众满意度和获得感上，更加聚焦问题，大胆创新探索，敢于突破制约发展的瓶颈和难题。</w:t>
      </w:r>
    </w:p>
    <w:p>
      <w:pPr>
        <w:ind w:firstLine="643"/>
      </w:pPr>
      <w:r>
        <w:rPr>
          <w:rFonts w:hint="eastAsia"/>
          <w:b/>
          <w:bCs/>
        </w:rPr>
        <w:t>坚持设施建设和内涵发展并举。</w:t>
      </w:r>
      <w:r>
        <w:rPr>
          <w:rFonts w:hint="eastAsia"/>
        </w:rPr>
        <w:t>充分发挥现有服务设施网络的作用和功能，进一步整合资金、项目和资源，加强载体建设，建成一批与民政事业发展要求相匹配、与群众需求相适应的硬件设施。同时更加注重内涵发展，提升管理和服务水平，增强民政公共服务供给能力。</w:t>
      </w:r>
      <w:r>
        <w:t xml:space="preserve"> </w:t>
      </w:r>
    </w:p>
    <w:p>
      <w:pPr>
        <w:ind w:firstLine="643"/>
      </w:pPr>
      <w:r>
        <w:rPr>
          <w:rFonts w:hint="eastAsia"/>
          <w:b/>
          <w:bCs/>
        </w:rPr>
        <w:t>坚持促进发展与规范管理协同。</w:t>
      </w:r>
      <w:r>
        <w:rPr>
          <w:rFonts w:hint="eastAsia"/>
        </w:rPr>
        <w:t>既要降低准入门槛，为民政事业发展的各类主体创造宽松的发展环境，也要注重完善法规、制度、规范和标准，加强行业监管，促进行业健康有序发展，实现综合效益。</w:t>
      </w:r>
    </w:p>
    <w:p>
      <w:pPr>
        <w:pStyle w:val="4"/>
        <w:ind w:firstLine="643"/>
      </w:pPr>
      <w:bookmarkStart w:id="46" w:name="_Toc51553145"/>
      <w:bookmarkStart w:id="47" w:name="_Toc76637543"/>
      <w:bookmarkStart w:id="48" w:name="_Toc92172068"/>
      <w:r>
        <w:rPr>
          <w:rFonts w:hint="eastAsia"/>
        </w:rPr>
        <w:t>三、发展目标</w:t>
      </w:r>
      <w:bookmarkEnd w:id="46"/>
      <w:bookmarkEnd w:id="47"/>
      <w:bookmarkEnd w:id="48"/>
    </w:p>
    <w:p>
      <w:pPr>
        <w:ind w:firstLine="640"/>
      </w:pPr>
      <w:r>
        <w:rPr>
          <w:rFonts w:hint="eastAsia"/>
        </w:rPr>
        <w:t>未来五年，大兴区民政事业要根据国家、北京市和大兴区“十四五”时期经济社会发展基本思路和主要目标，解决突出问题，着力补足短板，努力构建与“四个中心”“国际一流的和谐宜居之都”和“三区一门户”定位相匹配的现代民政事业。通过保基本、兜底线，更好地保障人民群众安居乐业。通过搭平台、促整合，努力提供发展更加均衡、供给有效扩大、服务方便可及、群众普遍满意的公共服务和产品。通过强基础、激活力，积极探索适合大兴区的城市社会治理新路径，塑造文明和谐的社区生活共同体。“十四五”时期大兴区民政体制机制更加规范而富有活力，保障措施更加科学而公平公正，设施网络更加健全而便捷可及，服务体系更加高效而亲民务实。</w:t>
      </w:r>
    </w:p>
    <w:p>
      <w:pPr>
        <w:pStyle w:val="5"/>
        <w:ind w:firstLine="643"/>
        <w:rPr>
          <w:sz w:val="32"/>
        </w:rPr>
      </w:pPr>
      <w:bookmarkStart w:id="49" w:name="_Toc92172069"/>
      <w:bookmarkStart w:id="50" w:name="_Toc76637544"/>
      <w:bookmarkStart w:id="51" w:name="_Toc51553147"/>
      <w:r>
        <w:rPr>
          <w:rFonts w:hint="eastAsia"/>
          <w:sz w:val="32"/>
        </w:rPr>
        <w:t>（一）基本民生保障能力显著增强</w:t>
      </w:r>
      <w:bookmarkEnd w:id="49"/>
      <w:bookmarkEnd w:id="50"/>
      <w:bookmarkEnd w:id="51"/>
    </w:p>
    <w:p>
      <w:pPr>
        <w:ind w:firstLine="640"/>
      </w:pPr>
      <w:r>
        <w:rPr>
          <w:rFonts w:hint="eastAsia"/>
        </w:rPr>
        <w:t>按照幼有所育、学有所教、劳有所得、病有所医、老有所养、住有所居、弱有所扶的要求，深入实施民生工程，把民生保障落实到每个个体。着力增进社会弱势群体的基本权益和发展能力，兜住兜好基本民生保障底线。</w:t>
      </w:r>
    </w:p>
    <w:p>
      <w:pPr>
        <w:pStyle w:val="5"/>
        <w:ind w:firstLine="643"/>
        <w:rPr>
          <w:sz w:val="32"/>
        </w:rPr>
      </w:pPr>
      <w:bookmarkStart w:id="52" w:name="_Toc92172070"/>
      <w:r>
        <w:rPr>
          <w:rFonts w:hint="eastAsia"/>
          <w:sz w:val="32"/>
        </w:rPr>
        <w:t>（二）基层社会治理能力持续提升</w:t>
      </w:r>
      <w:bookmarkEnd w:id="52"/>
    </w:p>
    <w:p>
      <w:pPr>
        <w:ind w:firstLine="640"/>
      </w:pPr>
      <w:r>
        <w:rPr>
          <w:rFonts w:hint="eastAsia"/>
        </w:rPr>
        <w:t>党建引领基层治理的体制机制更加优化。重心下移、资源下沉、简约高效的街道社区管理体制更加健全。社会组织、社会工作、志愿服务等多元主体的参与机制和参与渠道更加完善。党委领导、政府负责、民主协商、社会协同、公众参与、法治保障、科技支撑的社会治理体系作用发挥更加充分。</w:t>
      </w:r>
    </w:p>
    <w:p>
      <w:pPr>
        <w:pStyle w:val="5"/>
        <w:ind w:firstLine="643"/>
        <w:rPr>
          <w:sz w:val="32"/>
        </w:rPr>
      </w:pPr>
      <w:bookmarkStart w:id="53" w:name="_Toc76637545"/>
      <w:bookmarkStart w:id="54" w:name="_Toc51553148"/>
      <w:bookmarkStart w:id="55" w:name="_Toc92172071"/>
      <w:r>
        <w:rPr>
          <w:rFonts w:hint="eastAsia"/>
          <w:sz w:val="32"/>
        </w:rPr>
        <w:t>（三）基本社会服务供给</w:t>
      </w:r>
      <w:bookmarkEnd w:id="53"/>
      <w:bookmarkEnd w:id="54"/>
      <w:r>
        <w:rPr>
          <w:rFonts w:hint="eastAsia"/>
          <w:sz w:val="32"/>
        </w:rPr>
        <w:t>更加均衡</w:t>
      </w:r>
      <w:bookmarkEnd w:id="55"/>
    </w:p>
    <w:p>
      <w:pPr>
        <w:ind w:firstLine="640"/>
      </w:pPr>
      <w:r>
        <w:rPr>
          <w:rFonts w:hint="eastAsia"/>
        </w:rPr>
        <w:t>将群众利益贯穿到民政事业发展的各领域和各环节，稳步提升基本社会服务供给的质量和效益，促进城乡居民共同参与民政事业、共同分享民政领域发展成果，在共享民政事业发展成果和维护社会公平正义中不断增强人民群众的获得感、幸福感和安全感。</w:t>
      </w:r>
    </w:p>
    <w:p>
      <w:pPr>
        <w:pStyle w:val="5"/>
        <w:ind w:firstLine="643"/>
        <w:rPr>
          <w:sz w:val="32"/>
        </w:rPr>
      </w:pPr>
      <w:bookmarkStart w:id="56" w:name="_Toc76637546"/>
      <w:bookmarkStart w:id="57" w:name="_Toc92172072"/>
      <w:bookmarkStart w:id="58" w:name="_Toc51553149"/>
      <w:r>
        <w:rPr>
          <w:rFonts w:hint="eastAsia"/>
          <w:sz w:val="32"/>
        </w:rPr>
        <w:t>（四）民政服务方式更加智慧多元</w:t>
      </w:r>
      <w:bookmarkEnd w:id="56"/>
      <w:bookmarkEnd w:id="57"/>
      <w:bookmarkEnd w:id="58"/>
    </w:p>
    <w:p>
      <w:pPr>
        <w:ind w:firstLine="640"/>
      </w:pPr>
      <w:r>
        <w:rPr>
          <w:rFonts w:hint="eastAsia"/>
        </w:rPr>
        <w:t>创新民政服务方式，提供精准服务，让基层治理更加精细化。依靠科技创新推动民政事业改革发展，积极探索现代信息技术与民政业务的深度融合，把民政信息化、智能化作为民政事业发展的重要手段和重要驱动力量，推进民政信息化向智能化转型升级。进一步推进民政业务协同、数据共享，实现“统筹整合、信息共享、精细管理、延伸服务”。</w:t>
      </w:r>
    </w:p>
    <w:p>
      <w:pPr>
        <w:ind w:firstLine="0" w:firstLineChars="0"/>
        <w:jc w:val="center"/>
        <w:rPr>
          <w:rFonts w:ascii="仿宋" w:hAnsi="仿宋" w:cs="宋体"/>
          <w:b/>
          <w:sz w:val="30"/>
          <w:szCs w:val="30"/>
        </w:rPr>
      </w:pPr>
    </w:p>
    <w:p>
      <w:pPr>
        <w:ind w:firstLine="0" w:firstLineChars="0"/>
        <w:jc w:val="center"/>
        <w:rPr>
          <w:rFonts w:ascii="仿宋" w:hAnsi="仿宋" w:cs="宋体"/>
          <w:b/>
          <w:sz w:val="30"/>
          <w:szCs w:val="30"/>
        </w:rPr>
      </w:pPr>
    </w:p>
    <w:p>
      <w:pPr>
        <w:ind w:firstLine="0" w:firstLineChars="0"/>
        <w:jc w:val="center"/>
        <w:rPr>
          <w:rFonts w:ascii="仿宋" w:hAnsi="仿宋" w:cs="宋体"/>
          <w:b/>
          <w:sz w:val="30"/>
          <w:szCs w:val="30"/>
        </w:rPr>
      </w:pPr>
      <w:r>
        <w:br w:type="page"/>
      </w:r>
      <w:bookmarkStart w:id="59" w:name="_Hlk95817603"/>
      <w:r>
        <w:rPr>
          <w:rFonts w:hint="eastAsia" w:ascii="仿宋" w:hAnsi="仿宋" w:cs="宋体"/>
          <w:b/>
          <w:sz w:val="30"/>
          <w:szCs w:val="30"/>
        </w:rPr>
        <w:t>“十四五”时期大兴区民政事业发展主要指标</w:t>
      </w:r>
    </w:p>
    <w:tbl>
      <w:tblPr>
        <w:tblStyle w:val="18"/>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07"/>
        <w:gridCol w:w="733"/>
        <w:gridCol w:w="4958"/>
        <w:gridCol w:w="109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7" w:type="dxa"/>
            <w:gridSpan w:val="2"/>
            <w:vAlign w:val="center"/>
          </w:tcPr>
          <w:p>
            <w:pPr>
              <w:ind w:firstLine="0" w:firstLineChars="0"/>
              <w:jc w:val="center"/>
              <w:rPr>
                <w:rFonts w:ascii="仿宋" w:hAnsi="仿宋"/>
                <w:sz w:val="24"/>
                <w:szCs w:val="24"/>
              </w:rPr>
            </w:pPr>
            <w:r>
              <w:rPr>
                <w:rFonts w:hint="eastAsia" w:ascii="仿宋" w:hAnsi="仿宋"/>
                <w:sz w:val="24"/>
                <w:szCs w:val="24"/>
              </w:rPr>
              <w:t>领域</w:t>
            </w:r>
          </w:p>
        </w:tc>
        <w:tc>
          <w:tcPr>
            <w:tcW w:w="733" w:type="dxa"/>
            <w:vAlign w:val="center"/>
          </w:tcPr>
          <w:p>
            <w:pPr>
              <w:ind w:firstLine="0" w:firstLineChars="0"/>
              <w:rPr>
                <w:rFonts w:ascii="仿宋" w:hAnsi="仿宋"/>
                <w:sz w:val="24"/>
                <w:szCs w:val="24"/>
              </w:rPr>
            </w:pPr>
            <w:r>
              <w:rPr>
                <w:rFonts w:hint="eastAsia" w:ascii="仿宋" w:hAnsi="仿宋"/>
                <w:sz w:val="24"/>
                <w:szCs w:val="24"/>
              </w:rPr>
              <w:t>序号</w:t>
            </w:r>
          </w:p>
        </w:tc>
        <w:tc>
          <w:tcPr>
            <w:tcW w:w="4958" w:type="dxa"/>
            <w:vAlign w:val="center"/>
          </w:tcPr>
          <w:p>
            <w:pPr>
              <w:ind w:firstLine="480"/>
              <w:jc w:val="center"/>
              <w:rPr>
                <w:rFonts w:ascii="仿宋" w:hAnsi="仿宋"/>
                <w:sz w:val="24"/>
                <w:szCs w:val="24"/>
              </w:rPr>
            </w:pPr>
            <w:r>
              <w:rPr>
                <w:rFonts w:hint="eastAsia" w:ascii="仿宋" w:hAnsi="仿宋"/>
                <w:sz w:val="24"/>
                <w:szCs w:val="24"/>
              </w:rPr>
              <w:t>指</w:t>
            </w:r>
            <w:r>
              <w:rPr>
                <w:rFonts w:ascii="仿宋" w:hAnsi="仿宋"/>
                <w:sz w:val="24"/>
                <w:szCs w:val="24"/>
              </w:rPr>
              <w:t xml:space="preserve">  </w:t>
            </w:r>
            <w:r>
              <w:rPr>
                <w:rFonts w:hint="eastAsia" w:ascii="仿宋" w:hAnsi="仿宋"/>
                <w:sz w:val="24"/>
                <w:szCs w:val="24"/>
              </w:rPr>
              <w:t>标</w:t>
            </w:r>
          </w:p>
        </w:tc>
        <w:tc>
          <w:tcPr>
            <w:tcW w:w="1091" w:type="dxa"/>
            <w:vAlign w:val="center"/>
          </w:tcPr>
          <w:p>
            <w:pPr>
              <w:ind w:firstLine="0" w:firstLineChars="0"/>
              <w:jc w:val="center"/>
              <w:rPr>
                <w:rFonts w:ascii="仿宋" w:hAnsi="仿宋"/>
                <w:sz w:val="24"/>
                <w:szCs w:val="24"/>
              </w:rPr>
            </w:pPr>
            <w:r>
              <w:rPr>
                <w:rFonts w:ascii="仿宋" w:hAnsi="仿宋"/>
                <w:sz w:val="24"/>
                <w:szCs w:val="24"/>
              </w:rPr>
              <w:t>2020年</w:t>
            </w:r>
          </w:p>
        </w:tc>
        <w:tc>
          <w:tcPr>
            <w:tcW w:w="1156" w:type="dxa"/>
            <w:vAlign w:val="center"/>
          </w:tcPr>
          <w:p>
            <w:pPr>
              <w:ind w:firstLine="0" w:firstLineChars="0"/>
              <w:jc w:val="center"/>
              <w:rPr>
                <w:rFonts w:ascii="仿宋" w:hAnsi="仿宋"/>
                <w:sz w:val="24"/>
                <w:szCs w:val="24"/>
              </w:rPr>
            </w:pPr>
            <w:r>
              <w:rPr>
                <w:rFonts w:ascii="仿宋" w:hAnsi="仿宋"/>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Merge w:val="restart"/>
            <w:vAlign w:val="center"/>
          </w:tcPr>
          <w:p>
            <w:pPr>
              <w:ind w:firstLine="0" w:firstLineChars="0"/>
              <w:jc w:val="center"/>
              <w:rPr>
                <w:rFonts w:ascii="仿宋" w:hAnsi="仿宋"/>
                <w:sz w:val="24"/>
                <w:szCs w:val="24"/>
              </w:rPr>
            </w:pPr>
            <w:r>
              <w:rPr>
                <w:rFonts w:hint="eastAsia" w:ascii="仿宋" w:hAnsi="仿宋"/>
                <w:sz w:val="24"/>
                <w:szCs w:val="24"/>
              </w:rPr>
              <w:t>基本民生保障</w:t>
            </w:r>
          </w:p>
        </w:tc>
        <w:tc>
          <w:tcPr>
            <w:tcW w:w="807" w:type="dxa"/>
          </w:tcPr>
          <w:p>
            <w:pPr>
              <w:ind w:firstLine="0" w:firstLineChars="0"/>
              <w:jc w:val="center"/>
              <w:rPr>
                <w:rFonts w:ascii="仿宋" w:hAnsi="仿宋"/>
                <w:sz w:val="24"/>
                <w:szCs w:val="24"/>
              </w:rPr>
            </w:pPr>
            <w:r>
              <w:rPr>
                <w:rFonts w:hint="eastAsia" w:ascii="仿宋" w:hAnsi="仿宋"/>
                <w:sz w:val="24"/>
                <w:szCs w:val="24"/>
              </w:rPr>
              <w:t>社会救助</w:t>
            </w:r>
          </w:p>
        </w:tc>
        <w:tc>
          <w:tcPr>
            <w:tcW w:w="733" w:type="dxa"/>
            <w:vAlign w:val="center"/>
          </w:tcPr>
          <w:p>
            <w:pPr>
              <w:ind w:firstLine="0" w:firstLineChars="0"/>
              <w:jc w:val="center"/>
              <w:rPr>
                <w:rFonts w:ascii="仿宋" w:hAnsi="仿宋"/>
                <w:sz w:val="24"/>
                <w:szCs w:val="24"/>
              </w:rPr>
            </w:pPr>
            <w:r>
              <w:rPr>
                <w:rFonts w:ascii="仿宋" w:hAnsi="仿宋"/>
                <w:sz w:val="24"/>
                <w:szCs w:val="24"/>
              </w:rPr>
              <w:t>1</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有集中供养需求的特困对象集中供养率（</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100</w:t>
            </w:r>
          </w:p>
        </w:tc>
        <w:tc>
          <w:tcPr>
            <w:tcW w:w="1156" w:type="dxa"/>
            <w:vAlign w:val="center"/>
          </w:tcPr>
          <w:p>
            <w:pPr>
              <w:ind w:firstLine="0" w:firstLineChars="0"/>
              <w:jc w:val="center"/>
              <w:rPr>
                <w:rFonts w:ascii="仿宋" w:hAnsi="仿宋"/>
                <w:sz w:val="24"/>
                <w:szCs w:val="24"/>
              </w:rPr>
            </w:pPr>
            <w:r>
              <w:rPr>
                <w:rFonts w:ascii="仿宋" w:hAnsi="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Merge w:val="continue"/>
            <w:vAlign w:val="center"/>
          </w:tcPr>
          <w:p>
            <w:pPr>
              <w:ind w:firstLine="480"/>
              <w:rPr>
                <w:rFonts w:ascii="仿宋" w:hAnsi="仿宋"/>
                <w:sz w:val="24"/>
                <w:szCs w:val="24"/>
              </w:rPr>
            </w:pPr>
          </w:p>
        </w:tc>
        <w:tc>
          <w:tcPr>
            <w:tcW w:w="807" w:type="dxa"/>
          </w:tcPr>
          <w:p>
            <w:pPr>
              <w:ind w:firstLine="0" w:firstLineChars="0"/>
              <w:jc w:val="center"/>
              <w:rPr>
                <w:rFonts w:ascii="仿宋" w:hAnsi="仿宋"/>
                <w:sz w:val="24"/>
                <w:szCs w:val="24"/>
              </w:rPr>
            </w:pPr>
            <w:r>
              <w:rPr>
                <w:rFonts w:hint="eastAsia" w:ascii="仿宋" w:hAnsi="仿宋"/>
                <w:sz w:val="24"/>
                <w:szCs w:val="24"/>
              </w:rPr>
              <w:t>救济救助</w:t>
            </w:r>
          </w:p>
        </w:tc>
        <w:tc>
          <w:tcPr>
            <w:tcW w:w="733" w:type="dxa"/>
            <w:vAlign w:val="center"/>
          </w:tcPr>
          <w:p>
            <w:pPr>
              <w:ind w:firstLine="0" w:firstLineChars="0"/>
              <w:jc w:val="center"/>
              <w:rPr>
                <w:rFonts w:ascii="仿宋" w:hAnsi="仿宋"/>
                <w:sz w:val="24"/>
                <w:szCs w:val="24"/>
              </w:rPr>
            </w:pPr>
            <w:r>
              <w:rPr>
                <w:rFonts w:ascii="仿宋" w:hAnsi="仿宋"/>
                <w:sz w:val="24"/>
                <w:szCs w:val="24"/>
              </w:rPr>
              <w:t>2</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临时救助和长期照料总床位数（张）</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50</w:t>
            </w:r>
          </w:p>
        </w:tc>
        <w:tc>
          <w:tcPr>
            <w:tcW w:w="1156" w:type="dxa"/>
            <w:vAlign w:val="center"/>
          </w:tcPr>
          <w:p>
            <w:pPr>
              <w:ind w:firstLine="0" w:firstLineChars="0"/>
              <w:jc w:val="center"/>
              <w:rPr>
                <w:rFonts w:ascii="仿宋" w:hAnsi="仿宋"/>
                <w:sz w:val="24"/>
                <w:szCs w:val="24"/>
              </w:rPr>
            </w:pPr>
            <w:r>
              <w:rPr>
                <w:rFonts w:ascii="仿宋" w:hAnsi="仿宋"/>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养老服务</w:t>
            </w:r>
          </w:p>
        </w:tc>
        <w:tc>
          <w:tcPr>
            <w:tcW w:w="733" w:type="dxa"/>
            <w:vAlign w:val="center"/>
          </w:tcPr>
          <w:p>
            <w:pPr>
              <w:ind w:firstLine="0" w:firstLineChars="0"/>
              <w:jc w:val="center"/>
              <w:rPr>
                <w:rFonts w:ascii="仿宋" w:hAnsi="仿宋"/>
                <w:sz w:val="24"/>
                <w:szCs w:val="24"/>
              </w:rPr>
            </w:pPr>
            <w:r>
              <w:rPr>
                <w:rFonts w:ascii="仿宋" w:hAnsi="仿宋"/>
                <w:sz w:val="24"/>
                <w:szCs w:val="24"/>
              </w:rPr>
              <w:t>3</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每千名常住人口养老床位数（张）</w:t>
            </w:r>
          </w:p>
        </w:tc>
        <w:tc>
          <w:tcPr>
            <w:tcW w:w="1091" w:type="dxa"/>
            <w:vAlign w:val="center"/>
          </w:tcPr>
          <w:p>
            <w:pPr>
              <w:ind w:firstLine="0" w:firstLineChars="0"/>
              <w:jc w:val="center"/>
              <w:rPr>
                <w:rFonts w:ascii="仿宋" w:hAnsi="仿宋"/>
                <w:sz w:val="24"/>
                <w:szCs w:val="24"/>
              </w:rPr>
            </w:pPr>
            <w:r>
              <w:rPr>
                <w:rFonts w:ascii="仿宋" w:hAnsi="仿宋"/>
                <w:sz w:val="24"/>
                <w:szCs w:val="24"/>
              </w:rPr>
              <w:t>5</w:t>
            </w:r>
          </w:p>
        </w:tc>
        <w:tc>
          <w:tcPr>
            <w:tcW w:w="1156" w:type="dxa"/>
            <w:vAlign w:val="center"/>
          </w:tcPr>
          <w:p>
            <w:pPr>
              <w:ind w:firstLine="0" w:firstLineChars="0"/>
              <w:jc w:val="center"/>
              <w:rPr>
                <w:rFonts w:ascii="仿宋" w:hAnsi="仿宋"/>
                <w:sz w:val="24"/>
                <w:szCs w:val="24"/>
              </w:rPr>
            </w:pPr>
            <w:r>
              <w:rPr>
                <w:rFonts w:ascii="仿宋" w:hAnsi="仿宋" w:cs="Arial"/>
                <w:sz w:val="24"/>
                <w:szCs w:val="24"/>
                <w:shd w:val="clear" w:color="auto" w:fill="FFFFFF"/>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rPr>
                <w:rFonts w:ascii="仿宋" w:hAnsi="仿宋"/>
                <w:sz w:val="24"/>
                <w:szCs w:val="24"/>
              </w:rPr>
            </w:pPr>
          </w:p>
        </w:tc>
        <w:tc>
          <w:tcPr>
            <w:tcW w:w="807" w:type="dxa"/>
            <w:vMerge w:val="continue"/>
            <w:vAlign w:val="center"/>
          </w:tcPr>
          <w:p>
            <w:pPr>
              <w:ind w:firstLine="0" w:firstLineChars="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4</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千人养老机构床位数（张）</w:t>
            </w:r>
          </w:p>
        </w:tc>
        <w:tc>
          <w:tcPr>
            <w:tcW w:w="1091" w:type="dxa"/>
            <w:vAlign w:val="center"/>
          </w:tcPr>
          <w:p>
            <w:pPr>
              <w:ind w:firstLine="0" w:firstLineChars="0"/>
              <w:jc w:val="center"/>
              <w:rPr>
                <w:rFonts w:ascii="仿宋" w:hAnsi="仿宋"/>
                <w:sz w:val="24"/>
                <w:szCs w:val="24"/>
              </w:rPr>
            </w:pPr>
            <w:r>
              <w:rPr>
                <w:rFonts w:hint="eastAsia" w:ascii="仿宋" w:hAnsi="仿宋"/>
                <w:sz w:val="24"/>
                <w:szCs w:val="24"/>
              </w:rPr>
              <w:t>5</w:t>
            </w:r>
          </w:p>
        </w:tc>
        <w:tc>
          <w:tcPr>
            <w:tcW w:w="1156" w:type="dxa"/>
            <w:vAlign w:val="center"/>
          </w:tcPr>
          <w:p>
            <w:pPr>
              <w:ind w:firstLine="0" w:firstLineChars="0"/>
              <w:jc w:val="center"/>
              <w:rPr>
                <w:rFonts w:ascii="仿宋" w:hAnsi="仿宋" w:cs="Arial"/>
                <w:sz w:val="24"/>
                <w:szCs w:val="24"/>
                <w:shd w:val="clear" w:color="auto" w:fill="FFFFFF"/>
              </w:rPr>
            </w:pPr>
            <w:r>
              <w:rPr>
                <w:rFonts w:hint="eastAsia" w:ascii="仿宋" w:hAnsi="仿宋" w:cs="Arial"/>
                <w:sz w:val="24"/>
                <w:szCs w:val="24"/>
                <w:shd w:val="clear" w:color="auto" w:fill="FFFFFF"/>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Merge w:val="continue"/>
            <w:vAlign w:val="center"/>
          </w:tcPr>
          <w:p>
            <w:pPr>
              <w:ind w:firstLine="480"/>
              <w:rPr>
                <w:rFonts w:ascii="仿宋" w:hAnsi="仿宋"/>
                <w:sz w:val="24"/>
                <w:szCs w:val="24"/>
              </w:rPr>
            </w:pPr>
          </w:p>
        </w:tc>
        <w:tc>
          <w:tcPr>
            <w:tcW w:w="807" w:type="dxa"/>
            <w:vMerge w:val="continue"/>
          </w:tcPr>
          <w:p>
            <w:pPr>
              <w:ind w:firstLine="48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5</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建成运营街道乡镇养老照料中心数量（家）</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20</w:t>
            </w:r>
          </w:p>
        </w:tc>
        <w:tc>
          <w:tcPr>
            <w:tcW w:w="1156" w:type="dxa"/>
            <w:vAlign w:val="center"/>
          </w:tcPr>
          <w:p>
            <w:pPr>
              <w:ind w:firstLine="0" w:firstLineChars="0"/>
              <w:jc w:val="center"/>
              <w:rPr>
                <w:rFonts w:ascii="仿宋" w:hAnsi="仿宋"/>
                <w:sz w:val="24"/>
                <w:szCs w:val="24"/>
              </w:rPr>
            </w:pPr>
            <w:r>
              <w:rPr>
                <w:rFonts w:ascii="仿宋" w:hAnsi="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rPr>
                <w:rFonts w:ascii="仿宋" w:hAnsi="仿宋"/>
                <w:sz w:val="24"/>
                <w:szCs w:val="24"/>
              </w:rPr>
            </w:pPr>
          </w:p>
        </w:tc>
        <w:tc>
          <w:tcPr>
            <w:tcW w:w="807" w:type="dxa"/>
            <w:vMerge w:val="continue"/>
          </w:tcPr>
          <w:p>
            <w:pPr>
              <w:ind w:firstLine="48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6</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建成运营社区养老服务驿站（家）</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132</w:t>
            </w:r>
          </w:p>
        </w:tc>
        <w:tc>
          <w:tcPr>
            <w:tcW w:w="1156" w:type="dxa"/>
            <w:vAlign w:val="center"/>
          </w:tcPr>
          <w:p>
            <w:pPr>
              <w:ind w:firstLine="0" w:firstLineChars="0"/>
              <w:jc w:val="center"/>
              <w:rPr>
                <w:rFonts w:ascii="仿宋" w:hAnsi="仿宋"/>
                <w:sz w:val="24"/>
                <w:szCs w:val="24"/>
              </w:rPr>
            </w:pPr>
            <w:r>
              <w:rPr>
                <w:rFonts w:ascii="仿宋" w:hAnsi="仿宋"/>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rPr>
                <w:rFonts w:ascii="仿宋" w:hAnsi="仿宋"/>
                <w:sz w:val="24"/>
                <w:szCs w:val="24"/>
              </w:rPr>
            </w:pPr>
          </w:p>
        </w:tc>
        <w:tc>
          <w:tcPr>
            <w:tcW w:w="807" w:type="dxa"/>
            <w:vMerge w:val="continue"/>
          </w:tcPr>
          <w:p>
            <w:pPr>
              <w:ind w:firstLine="48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7</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万名老年人拥有养老护理员数（名）</w:t>
            </w:r>
          </w:p>
        </w:tc>
        <w:tc>
          <w:tcPr>
            <w:tcW w:w="1091" w:type="dxa"/>
            <w:vAlign w:val="center"/>
          </w:tcPr>
          <w:p>
            <w:pPr>
              <w:ind w:firstLine="0" w:firstLineChars="0"/>
              <w:jc w:val="center"/>
              <w:rPr>
                <w:rFonts w:ascii="仿宋" w:hAnsi="仿宋"/>
                <w:sz w:val="24"/>
                <w:szCs w:val="24"/>
              </w:rPr>
            </w:pPr>
            <w:r>
              <w:rPr>
                <w:rFonts w:ascii="仿宋" w:hAnsi="仿宋"/>
                <w:sz w:val="24"/>
                <w:szCs w:val="24"/>
              </w:rPr>
              <w:t>50</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0" w:firstLineChars="0"/>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残疾人福利</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8</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区级精神卫生福利床位数（张）</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0</w:t>
            </w:r>
          </w:p>
        </w:tc>
        <w:tc>
          <w:tcPr>
            <w:tcW w:w="1156" w:type="dxa"/>
            <w:vAlign w:val="center"/>
          </w:tcPr>
          <w:p>
            <w:pPr>
              <w:ind w:firstLine="0" w:firstLineChars="0"/>
              <w:jc w:val="center"/>
              <w:rPr>
                <w:rFonts w:ascii="仿宋" w:hAnsi="仿宋"/>
                <w:sz w:val="24"/>
                <w:szCs w:val="24"/>
              </w:rPr>
            </w:pPr>
            <w:r>
              <w:rPr>
                <w:rFonts w:ascii="仿宋" w:hAnsi="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48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9</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开展精神障碍社区康复服务的街道乡镇占比（</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30.3</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儿童福利</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10</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社会散居孤儿供养标准与人均消费支出比值</w:t>
            </w:r>
          </w:p>
        </w:tc>
        <w:tc>
          <w:tcPr>
            <w:tcW w:w="1091" w:type="dxa"/>
            <w:vAlign w:val="center"/>
          </w:tcPr>
          <w:p>
            <w:pPr>
              <w:ind w:firstLine="0" w:firstLineChars="0"/>
              <w:jc w:val="center"/>
              <w:rPr>
                <w:rFonts w:ascii="仿宋" w:hAnsi="仿宋"/>
                <w:sz w:val="24"/>
                <w:szCs w:val="24"/>
              </w:rPr>
            </w:pPr>
            <w:r>
              <w:rPr>
                <w:rFonts w:ascii="仿宋" w:hAnsi="仿宋"/>
                <w:sz w:val="24"/>
                <w:szCs w:val="24"/>
              </w:rPr>
              <w:t>0.55</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11</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每万人户籍儿童机构床位数（张）</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13</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12</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区级儿童福利机构数量（所）</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w:t>
            </w:r>
          </w:p>
        </w:tc>
        <w:tc>
          <w:tcPr>
            <w:tcW w:w="1156" w:type="dxa"/>
            <w:vAlign w:val="center"/>
          </w:tcPr>
          <w:p>
            <w:pPr>
              <w:ind w:firstLine="0" w:firstLineChars="0"/>
              <w:jc w:val="center"/>
              <w:rPr>
                <w:rFonts w:ascii="仿宋" w:hAnsi="仿宋"/>
                <w:sz w:val="24"/>
                <w:szCs w:val="24"/>
              </w:rPr>
            </w:pPr>
            <w:r>
              <w:rPr>
                <w:rFonts w:ascii="仿宋" w:hAnsi="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restart"/>
            <w:vAlign w:val="center"/>
          </w:tcPr>
          <w:p>
            <w:pPr>
              <w:ind w:firstLine="0" w:firstLineChars="0"/>
              <w:jc w:val="center"/>
              <w:rPr>
                <w:rFonts w:ascii="仿宋" w:hAnsi="仿宋"/>
                <w:sz w:val="24"/>
                <w:szCs w:val="24"/>
              </w:rPr>
            </w:pPr>
            <w:r>
              <w:rPr>
                <w:rFonts w:hint="eastAsia" w:ascii="仿宋" w:hAnsi="仿宋"/>
                <w:sz w:val="24"/>
                <w:szCs w:val="24"/>
              </w:rPr>
              <w:t>基层社会治理</w:t>
            </w: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城乡</w:t>
            </w:r>
          </w:p>
          <w:p>
            <w:pPr>
              <w:ind w:firstLine="0" w:firstLineChars="0"/>
              <w:jc w:val="center"/>
              <w:rPr>
                <w:rFonts w:ascii="仿宋" w:hAnsi="仿宋"/>
                <w:sz w:val="24"/>
                <w:szCs w:val="24"/>
              </w:rPr>
            </w:pPr>
            <w:r>
              <w:rPr>
                <w:rFonts w:hint="eastAsia" w:ascii="仿宋" w:hAnsi="仿宋"/>
                <w:sz w:val="24"/>
                <w:szCs w:val="24"/>
              </w:rPr>
              <w:t>社区治理</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13</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社区书记工作室示范点（个）</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0</w:t>
            </w:r>
          </w:p>
        </w:tc>
        <w:tc>
          <w:tcPr>
            <w:tcW w:w="1156" w:type="dxa"/>
            <w:vAlign w:val="center"/>
          </w:tcPr>
          <w:p>
            <w:pPr>
              <w:ind w:firstLine="0" w:firstLineChars="0"/>
              <w:jc w:val="center"/>
              <w:rPr>
                <w:rFonts w:ascii="仿宋" w:hAnsi="仿宋"/>
                <w:sz w:val="24"/>
                <w:szCs w:val="24"/>
              </w:rPr>
            </w:pPr>
            <w:r>
              <w:rPr>
                <w:rFonts w:ascii="仿宋" w:hAnsi="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14</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社区居民委员会直接选举和户代表选举比例（</w:t>
            </w:r>
            <w:r>
              <w:rPr>
                <w:rFonts w:ascii="仿宋" w:hAnsi="仿宋"/>
                <w:sz w:val="24"/>
                <w:szCs w:val="24"/>
              </w:rPr>
              <w:t>%）</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64.7</w:t>
            </w:r>
          </w:p>
        </w:tc>
        <w:tc>
          <w:tcPr>
            <w:tcW w:w="1156" w:type="dxa"/>
            <w:vAlign w:val="center"/>
          </w:tcPr>
          <w:p>
            <w:pPr>
              <w:ind w:firstLine="0" w:firstLineChars="0"/>
              <w:jc w:val="center"/>
              <w:rPr>
                <w:rFonts w:ascii="仿宋" w:hAnsi="仿宋"/>
                <w:sz w:val="24"/>
                <w:szCs w:val="24"/>
              </w:rPr>
            </w:pPr>
            <w:r>
              <w:rPr>
                <w:rFonts w:ascii="仿宋" w:hAnsi="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15</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城乡社区楼门院治理示范点（个）</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15</w:t>
            </w:r>
          </w:p>
        </w:tc>
        <w:tc>
          <w:tcPr>
            <w:tcW w:w="1156" w:type="dxa"/>
            <w:vAlign w:val="center"/>
          </w:tcPr>
          <w:p>
            <w:pPr>
              <w:ind w:firstLine="0" w:firstLineChars="0"/>
              <w:jc w:val="center"/>
              <w:rPr>
                <w:rFonts w:ascii="仿宋" w:hAnsi="仿宋"/>
                <w:sz w:val="24"/>
                <w:szCs w:val="24"/>
              </w:rPr>
            </w:pPr>
            <w:r>
              <w:rPr>
                <w:rFonts w:ascii="仿宋" w:hAnsi="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16</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每个社区的社区工作者本社区化率（</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49.1</w:t>
            </w:r>
          </w:p>
        </w:tc>
        <w:tc>
          <w:tcPr>
            <w:tcW w:w="1156" w:type="dxa"/>
            <w:vAlign w:val="center"/>
          </w:tcPr>
          <w:p>
            <w:pPr>
              <w:ind w:firstLine="0" w:firstLineChars="0"/>
              <w:jc w:val="center"/>
              <w:rPr>
                <w:rFonts w:ascii="仿宋" w:hAnsi="仿宋"/>
                <w:sz w:val="24"/>
                <w:szCs w:val="24"/>
              </w:rPr>
            </w:pPr>
            <w:r>
              <w:rPr>
                <w:rFonts w:ascii="仿宋" w:hAnsi="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17</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实施村（居）委会撤销（调整）（个）</w:t>
            </w:r>
          </w:p>
        </w:tc>
        <w:tc>
          <w:tcPr>
            <w:tcW w:w="1091" w:type="dxa"/>
            <w:vAlign w:val="center"/>
          </w:tcPr>
          <w:p>
            <w:pPr>
              <w:ind w:firstLine="0" w:firstLineChars="0"/>
              <w:jc w:val="center"/>
              <w:rPr>
                <w:rFonts w:ascii="仿宋" w:hAnsi="仿宋"/>
                <w:sz w:val="24"/>
                <w:szCs w:val="24"/>
              </w:rPr>
            </w:pPr>
            <w:r>
              <w:rPr>
                <w:rFonts w:hint="eastAsia" w:ascii="仿宋" w:hAnsi="仿宋"/>
                <w:sz w:val="24"/>
                <w:szCs w:val="24"/>
              </w:rPr>
              <w:t>—</w:t>
            </w:r>
          </w:p>
        </w:tc>
        <w:tc>
          <w:tcPr>
            <w:tcW w:w="1156" w:type="dxa"/>
            <w:vAlign w:val="center"/>
          </w:tcPr>
          <w:p>
            <w:pPr>
              <w:ind w:firstLine="0" w:firstLineChars="0"/>
              <w:jc w:val="center"/>
              <w:rPr>
                <w:rFonts w:ascii="仿宋" w:hAnsi="仿宋"/>
                <w:sz w:val="24"/>
                <w:szCs w:val="24"/>
              </w:rPr>
            </w:pPr>
            <w:r>
              <w:rPr>
                <w:rFonts w:ascii="仿宋" w:hAnsi="仿宋"/>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tcPr>
          <w:p>
            <w:pPr>
              <w:ind w:firstLine="0" w:firstLineChars="0"/>
              <w:jc w:val="center"/>
              <w:rPr>
                <w:rFonts w:ascii="仿宋" w:hAnsi="仿宋"/>
                <w:sz w:val="24"/>
                <w:szCs w:val="24"/>
              </w:rPr>
            </w:pPr>
            <w:r>
              <w:rPr>
                <w:rFonts w:hint="eastAsia" w:ascii="仿宋" w:hAnsi="仿宋"/>
                <w:sz w:val="24"/>
                <w:szCs w:val="24"/>
              </w:rPr>
              <w:t>社会组织</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18</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街镇级社会组织联合会覆盖率（</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10</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19</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全区社区社会组织数量（家）</w:t>
            </w:r>
          </w:p>
        </w:tc>
        <w:tc>
          <w:tcPr>
            <w:tcW w:w="1091" w:type="dxa"/>
            <w:vAlign w:val="center"/>
          </w:tcPr>
          <w:p>
            <w:pPr>
              <w:ind w:firstLine="0" w:firstLineChars="0"/>
              <w:jc w:val="center"/>
              <w:rPr>
                <w:rFonts w:ascii="仿宋" w:hAnsi="仿宋"/>
                <w:sz w:val="24"/>
                <w:szCs w:val="24"/>
              </w:rPr>
            </w:pPr>
            <w:r>
              <w:rPr>
                <w:rFonts w:ascii="仿宋" w:hAnsi="仿宋"/>
                <w:sz w:val="24"/>
                <w:szCs w:val="24"/>
              </w:rPr>
              <w:t>800</w:t>
            </w:r>
          </w:p>
        </w:tc>
        <w:tc>
          <w:tcPr>
            <w:tcW w:w="1156" w:type="dxa"/>
            <w:vAlign w:val="center"/>
          </w:tcPr>
          <w:p>
            <w:pPr>
              <w:ind w:firstLine="0" w:firstLineChars="0"/>
              <w:jc w:val="center"/>
              <w:rPr>
                <w:rFonts w:ascii="仿宋" w:hAnsi="仿宋"/>
                <w:sz w:val="24"/>
                <w:szCs w:val="24"/>
              </w:rPr>
            </w:pPr>
            <w:r>
              <w:rPr>
                <w:rFonts w:ascii="仿宋" w:hAnsi="仿宋"/>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社会工作</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20</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社会工作专业服务机构（家）</w:t>
            </w:r>
          </w:p>
        </w:tc>
        <w:tc>
          <w:tcPr>
            <w:tcW w:w="1091" w:type="dxa"/>
            <w:vAlign w:val="center"/>
          </w:tcPr>
          <w:p>
            <w:pPr>
              <w:ind w:firstLine="0" w:firstLineChars="0"/>
              <w:jc w:val="center"/>
              <w:rPr>
                <w:rFonts w:ascii="仿宋" w:hAnsi="仿宋"/>
                <w:sz w:val="24"/>
                <w:szCs w:val="24"/>
              </w:rPr>
            </w:pPr>
            <w:r>
              <w:rPr>
                <w:rFonts w:hint="eastAsia" w:ascii="仿宋" w:hAnsi="仿宋"/>
                <w:sz w:val="24"/>
                <w:szCs w:val="24"/>
              </w:rPr>
              <w:t>1</w:t>
            </w:r>
            <w:r>
              <w:rPr>
                <w:rFonts w:ascii="仿宋" w:hAnsi="仿宋"/>
                <w:sz w:val="24"/>
                <w:szCs w:val="24"/>
              </w:rPr>
              <w:t>40</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21</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社会工作专业人才总量（万人）</w:t>
            </w:r>
          </w:p>
        </w:tc>
        <w:tc>
          <w:tcPr>
            <w:tcW w:w="1091" w:type="dxa"/>
            <w:vAlign w:val="center"/>
          </w:tcPr>
          <w:p>
            <w:pPr>
              <w:ind w:firstLine="0" w:firstLineChars="0"/>
              <w:jc w:val="center"/>
              <w:rPr>
                <w:rFonts w:ascii="仿宋" w:hAnsi="仿宋"/>
                <w:sz w:val="24"/>
                <w:szCs w:val="24"/>
              </w:rPr>
            </w:pPr>
            <w:r>
              <w:rPr>
                <w:rFonts w:ascii="仿宋" w:hAnsi="仿宋"/>
                <w:sz w:val="24"/>
                <w:szCs w:val="24"/>
              </w:rPr>
              <w:t>0.28</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22</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获得社会工作者职业水平证书的专业人才（万人）</w:t>
            </w:r>
          </w:p>
        </w:tc>
        <w:tc>
          <w:tcPr>
            <w:tcW w:w="1091" w:type="dxa"/>
            <w:vAlign w:val="center"/>
          </w:tcPr>
          <w:p>
            <w:pPr>
              <w:ind w:firstLine="0" w:firstLineChars="0"/>
              <w:jc w:val="center"/>
              <w:rPr>
                <w:rFonts w:ascii="仿宋" w:hAnsi="仿宋"/>
                <w:sz w:val="24"/>
                <w:szCs w:val="24"/>
              </w:rPr>
            </w:pPr>
            <w:r>
              <w:rPr>
                <w:rFonts w:ascii="仿宋" w:hAnsi="仿宋"/>
                <w:sz w:val="24"/>
                <w:szCs w:val="24"/>
              </w:rPr>
              <w:t>0.12</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0.</w:t>
            </w:r>
            <w:r>
              <w:rPr>
                <w:rFonts w:hint="eastAsia" w:ascii="仿宋" w:hAnsi="仿宋" w:cs="Arial"/>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志愿服务</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23</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志愿服务站点在社区综合服务设施中的覆盖率（</w:t>
            </w:r>
            <w:r>
              <w:rPr>
                <w:rFonts w:ascii="仿宋" w:hAnsi="仿宋"/>
                <w:sz w:val="24"/>
                <w:szCs w:val="24"/>
              </w:rPr>
              <w:t>%</w:t>
            </w:r>
            <w:r>
              <w:rPr>
                <w:rFonts w:hint="eastAsia"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37</w:t>
            </w:r>
          </w:p>
        </w:tc>
        <w:tc>
          <w:tcPr>
            <w:tcW w:w="1156" w:type="dxa"/>
            <w:vAlign w:val="center"/>
          </w:tcPr>
          <w:p>
            <w:pPr>
              <w:ind w:firstLine="0" w:firstLineChars="0"/>
              <w:jc w:val="center"/>
              <w:rPr>
                <w:rFonts w:ascii="仿宋" w:hAnsi="仿宋"/>
                <w:sz w:val="24"/>
                <w:szCs w:val="24"/>
              </w:rPr>
            </w:pPr>
            <w:r>
              <w:rPr>
                <w:rFonts w:ascii="仿宋" w:hAnsi="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jc w:val="center"/>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24</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实名注册志愿者占常住人口的比例（</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16</w:t>
            </w:r>
          </w:p>
        </w:tc>
        <w:tc>
          <w:tcPr>
            <w:tcW w:w="1156" w:type="dxa"/>
            <w:vAlign w:val="center"/>
          </w:tcPr>
          <w:p>
            <w:pPr>
              <w:ind w:firstLine="0" w:firstLineChars="0"/>
              <w:jc w:val="center"/>
              <w:rPr>
                <w:rFonts w:ascii="仿宋" w:hAnsi="仿宋"/>
                <w:sz w:val="24"/>
                <w:szCs w:val="24"/>
              </w:rPr>
            </w:pPr>
            <w:r>
              <w:rPr>
                <w:rFonts w:ascii="仿宋" w:hAnsi="仿宋"/>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restart"/>
            <w:vAlign w:val="center"/>
          </w:tcPr>
          <w:p>
            <w:pPr>
              <w:ind w:firstLine="0" w:firstLineChars="0"/>
              <w:jc w:val="center"/>
              <w:rPr>
                <w:rFonts w:ascii="仿宋" w:hAnsi="仿宋"/>
                <w:sz w:val="24"/>
                <w:szCs w:val="24"/>
              </w:rPr>
            </w:pPr>
            <w:r>
              <w:rPr>
                <w:rFonts w:hint="eastAsia" w:ascii="仿宋" w:hAnsi="仿宋"/>
                <w:sz w:val="24"/>
                <w:szCs w:val="24"/>
              </w:rPr>
              <w:t>基本社会服务</w:t>
            </w:r>
          </w:p>
        </w:tc>
        <w:tc>
          <w:tcPr>
            <w:tcW w:w="807" w:type="dxa"/>
          </w:tcPr>
          <w:p>
            <w:pPr>
              <w:ind w:firstLine="0" w:firstLineChars="0"/>
              <w:jc w:val="center"/>
              <w:rPr>
                <w:rFonts w:ascii="仿宋" w:hAnsi="仿宋"/>
                <w:sz w:val="24"/>
                <w:szCs w:val="24"/>
              </w:rPr>
            </w:pPr>
            <w:r>
              <w:rPr>
                <w:rFonts w:hint="eastAsia" w:ascii="仿宋" w:hAnsi="仿宋"/>
                <w:sz w:val="24"/>
                <w:szCs w:val="24"/>
              </w:rPr>
              <w:t>婚姻服务</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25</w:t>
            </w:r>
          </w:p>
        </w:tc>
        <w:tc>
          <w:tcPr>
            <w:tcW w:w="4958" w:type="dxa"/>
            <w:vAlign w:val="center"/>
          </w:tcPr>
          <w:p>
            <w:pPr>
              <w:ind w:firstLine="0" w:firstLineChars="0"/>
              <w:jc w:val="left"/>
              <w:rPr>
                <w:rFonts w:ascii="仿宋" w:hAnsi="仿宋"/>
                <w:sz w:val="24"/>
                <w:szCs w:val="24"/>
              </w:rPr>
            </w:pPr>
            <w:r>
              <w:rPr>
                <w:rFonts w:ascii="仿宋" w:hAnsi="仿宋"/>
                <w:sz w:val="24"/>
                <w:szCs w:val="24"/>
              </w:rPr>
              <w:t>5A</w:t>
            </w:r>
            <w:r>
              <w:rPr>
                <w:rFonts w:hint="eastAsia" w:ascii="仿宋" w:hAnsi="仿宋"/>
                <w:sz w:val="24"/>
                <w:szCs w:val="24"/>
              </w:rPr>
              <w:t>级婚姻登记机关比例（</w:t>
            </w:r>
            <w:r>
              <w:rPr>
                <w:rFonts w:ascii="仿宋" w:hAnsi="仿宋"/>
                <w:sz w:val="24"/>
                <w:szCs w:val="24"/>
              </w:rPr>
              <w:t>%）</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100</w:t>
            </w:r>
          </w:p>
        </w:tc>
        <w:tc>
          <w:tcPr>
            <w:tcW w:w="1156" w:type="dxa"/>
            <w:vAlign w:val="center"/>
          </w:tcPr>
          <w:p>
            <w:pPr>
              <w:ind w:firstLine="0" w:firstLineChars="0"/>
              <w:jc w:val="center"/>
              <w:rPr>
                <w:rFonts w:ascii="仿宋" w:hAnsi="仿宋"/>
                <w:sz w:val="24"/>
                <w:szCs w:val="24"/>
              </w:rPr>
            </w:pPr>
            <w:r>
              <w:rPr>
                <w:rFonts w:ascii="仿宋" w:hAnsi="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0" w:firstLineChars="0"/>
              <w:jc w:val="center"/>
              <w:rPr>
                <w:rFonts w:ascii="仿宋" w:hAnsi="仿宋"/>
                <w:sz w:val="24"/>
                <w:szCs w:val="24"/>
              </w:rPr>
            </w:pPr>
          </w:p>
        </w:tc>
        <w:tc>
          <w:tcPr>
            <w:tcW w:w="807" w:type="dxa"/>
            <w:vMerge w:val="restart"/>
          </w:tcPr>
          <w:p>
            <w:pPr>
              <w:ind w:firstLine="0" w:firstLineChars="0"/>
              <w:jc w:val="center"/>
              <w:rPr>
                <w:rFonts w:ascii="仿宋" w:hAnsi="仿宋"/>
                <w:sz w:val="24"/>
                <w:szCs w:val="24"/>
              </w:rPr>
            </w:pPr>
            <w:r>
              <w:rPr>
                <w:rFonts w:hint="eastAsia" w:ascii="仿宋" w:hAnsi="仿宋"/>
                <w:sz w:val="24"/>
                <w:szCs w:val="24"/>
              </w:rPr>
              <w:t>殡葬服务</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26</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节地生态安葬率（</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55</w:t>
            </w:r>
          </w:p>
        </w:tc>
        <w:tc>
          <w:tcPr>
            <w:tcW w:w="1156" w:type="dxa"/>
            <w:vAlign w:val="center"/>
          </w:tcPr>
          <w:p>
            <w:pPr>
              <w:ind w:firstLine="0" w:firstLineChars="0"/>
              <w:jc w:val="center"/>
              <w:rPr>
                <w:rFonts w:ascii="仿宋" w:hAnsi="仿宋"/>
                <w:sz w:val="24"/>
                <w:szCs w:val="24"/>
              </w:rPr>
            </w:pPr>
            <w:r>
              <w:rPr>
                <w:rFonts w:ascii="仿宋" w:hAnsi="仿宋"/>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27</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公益性公墓乡镇服务覆盖率（</w:t>
            </w:r>
            <w:r>
              <w:rPr>
                <w:rFonts w:ascii="仿宋" w:hAnsi="仿宋"/>
                <w:sz w:val="24"/>
                <w:szCs w:val="24"/>
              </w:rPr>
              <w:t>%）</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70</w:t>
            </w:r>
          </w:p>
        </w:tc>
        <w:tc>
          <w:tcPr>
            <w:tcW w:w="1156" w:type="dxa"/>
            <w:vAlign w:val="center"/>
          </w:tcPr>
          <w:p>
            <w:pPr>
              <w:ind w:firstLine="0" w:firstLineChars="0"/>
              <w:jc w:val="center"/>
              <w:rPr>
                <w:rFonts w:ascii="仿宋" w:hAnsi="仿宋" w:cs="Arial"/>
                <w:sz w:val="24"/>
                <w:szCs w:val="24"/>
                <w:shd w:val="clear" w:color="auto" w:fill="FFFFFF"/>
              </w:rPr>
            </w:pPr>
            <w:r>
              <w:rPr>
                <w:rFonts w:ascii="仿宋" w:hAnsi="仿宋" w:cs="Arial"/>
                <w:sz w:val="24"/>
                <w:szCs w:val="24"/>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慈善事业发展</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28</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基层慈善服务站点对社区覆盖率（</w:t>
            </w:r>
            <w:r>
              <w:rPr>
                <w:rFonts w:ascii="仿宋" w:hAnsi="仿宋"/>
                <w:sz w:val="24"/>
                <w:szCs w:val="24"/>
              </w:rPr>
              <w:t>%）</w:t>
            </w:r>
            <w:r>
              <w:rPr>
                <w:rFonts w:ascii="仿宋" w:hAnsi="仿宋" w:cs="宋体"/>
                <w:bCs/>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0</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29</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慈善信托财产总规模（万元）</w:t>
            </w:r>
          </w:p>
        </w:tc>
        <w:tc>
          <w:tcPr>
            <w:tcW w:w="1091" w:type="dxa"/>
            <w:vAlign w:val="center"/>
          </w:tcPr>
          <w:p>
            <w:pPr>
              <w:ind w:firstLine="0" w:firstLineChars="0"/>
              <w:jc w:val="center"/>
              <w:rPr>
                <w:rFonts w:ascii="仿宋" w:hAnsi="仿宋"/>
                <w:sz w:val="24"/>
                <w:szCs w:val="24"/>
              </w:rPr>
            </w:pPr>
            <w:r>
              <w:rPr>
                <w:rFonts w:ascii="仿宋" w:hAnsi="仿宋"/>
                <w:sz w:val="24"/>
                <w:szCs w:val="24"/>
              </w:rPr>
              <w:t>10</w:t>
            </w:r>
          </w:p>
        </w:tc>
        <w:tc>
          <w:tcPr>
            <w:tcW w:w="1156" w:type="dxa"/>
            <w:vAlign w:val="center"/>
          </w:tcPr>
          <w:p>
            <w:pPr>
              <w:ind w:firstLine="0" w:firstLineChars="0"/>
              <w:jc w:val="center"/>
              <w:rPr>
                <w:rFonts w:ascii="仿宋" w:hAnsi="仿宋"/>
                <w:sz w:val="24"/>
                <w:szCs w:val="24"/>
              </w:rPr>
            </w:pPr>
            <w:r>
              <w:rPr>
                <w:rFonts w:ascii="仿宋" w:hAnsi="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restart"/>
            <w:vAlign w:val="center"/>
          </w:tcPr>
          <w:p>
            <w:pPr>
              <w:ind w:firstLine="0" w:firstLineChars="0"/>
              <w:jc w:val="center"/>
              <w:rPr>
                <w:rFonts w:ascii="仿宋" w:hAnsi="仿宋"/>
                <w:sz w:val="24"/>
                <w:szCs w:val="24"/>
              </w:rPr>
            </w:pPr>
            <w:r>
              <w:rPr>
                <w:rFonts w:hint="eastAsia" w:ascii="仿宋" w:hAnsi="仿宋"/>
                <w:sz w:val="24"/>
                <w:szCs w:val="24"/>
              </w:rPr>
              <w:t>社会心理服务</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30</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社会心理服务覆盖社区村比例（</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25</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cs="Arial"/>
                <w:sz w:val="24"/>
                <w:szCs w:val="24"/>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Merge w:val="continue"/>
            <w:vAlign w:val="center"/>
          </w:tcPr>
          <w:p>
            <w:pPr>
              <w:ind w:firstLine="480"/>
              <w:jc w:val="center"/>
              <w:rPr>
                <w:rFonts w:ascii="仿宋" w:hAnsi="仿宋"/>
                <w:sz w:val="24"/>
                <w:szCs w:val="24"/>
              </w:rPr>
            </w:pPr>
          </w:p>
        </w:tc>
        <w:tc>
          <w:tcPr>
            <w:tcW w:w="807" w:type="dxa"/>
            <w:vMerge w:val="continue"/>
          </w:tcPr>
          <w:p>
            <w:pPr>
              <w:ind w:firstLine="0" w:firstLineChars="0"/>
              <w:rPr>
                <w:rFonts w:ascii="仿宋" w:hAnsi="仿宋"/>
                <w:sz w:val="24"/>
                <w:szCs w:val="24"/>
              </w:rPr>
            </w:pP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31</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建成社会心理服务中心</w:t>
            </w:r>
            <w:r>
              <w:rPr>
                <w:rFonts w:ascii="仿宋" w:hAnsi="仿宋"/>
                <w:sz w:val="24"/>
                <w:szCs w:val="24"/>
              </w:rPr>
              <w:t>/站数量（</w:t>
            </w:r>
            <w:r>
              <w:rPr>
                <w:rFonts w:hint="eastAsia" w:ascii="仿宋" w:hAnsi="仿宋"/>
                <w:sz w:val="24"/>
                <w:szCs w:val="24"/>
              </w:rPr>
              <w:t>个）</w:t>
            </w:r>
          </w:p>
        </w:tc>
        <w:tc>
          <w:tcPr>
            <w:tcW w:w="1091" w:type="dxa"/>
            <w:vAlign w:val="center"/>
          </w:tcPr>
          <w:p>
            <w:pPr>
              <w:ind w:firstLine="0" w:firstLineChars="0"/>
              <w:jc w:val="center"/>
              <w:rPr>
                <w:rFonts w:ascii="仿宋" w:hAnsi="仿宋"/>
                <w:sz w:val="24"/>
                <w:szCs w:val="24"/>
              </w:rPr>
            </w:pPr>
            <w:r>
              <w:rPr>
                <w:rFonts w:ascii="仿宋" w:hAnsi="仿宋"/>
                <w:sz w:val="24"/>
                <w:szCs w:val="24"/>
              </w:rPr>
              <w:t>5</w:t>
            </w:r>
          </w:p>
        </w:tc>
        <w:tc>
          <w:tcPr>
            <w:tcW w:w="1156" w:type="dxa"/>
            <w:vAlign w:val="center"/>
          </w:tcPr>
          <w:p>
            <w:pPr>
              <w:ind w:firstLine="0" w:firstLineChars="0"/>
              <w:jc w:val="center"/>
              <w:rPr>
                <w:rFonts w:ascii="仿宋" w:hAnsi="仿宋"/>
                <w:sz w:val="24"/>
                <w:szCs w:val="24"/>
              </w:rPr>
            </w:pPr>
            <w:r>
              <w:rPr>
                <w:rFonts w:hint="eastAsia" w:ascii="仿宋" w:hAnsi="仿宋" w:cs="Arial"/>
                <w:sz w:val="24"/>
                <w:szCs w:val="24"/>
                <w:shd w:val="clear" w:color="auto" w:fill="FFFFFF"/>
              </w:rPr>
              <w:t>≥</w:t>
            </w:r>
            <w:r>
              <w:rPr>
                <w:rFonts w:ascii="仿宋" w:hAnsi="仿宋"/>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7" w:type="dxa"/>
            <w:gridSpan w:val="2"/>
            <w:vAlign w:val="center"/>
          </w:tcPr>
          <w:p>
            <w:pPr>
              <w:ind w:firstLine="0" w:firstLineChars="0"/>
              <w:jc w:val="center"/>
              <w:rPr>
                <w:rFonts w:hint="eastAsia" w:ascii="仿宋" w:hAnsi="仿宋"/>
                <w:sz w:val="24"/>
                <w:szCs w:val="24"/>
              </w:rPr>
            </w:pPr>
            <w:r>
              <w:rPr>
                <w:rFonts w:hint="eastAsia" w:ascii="仿宋" w:hAnsi="仿宋"/>
                <w:sz w:val="24"/>
                <w:szCs w:val="24"/>
              </w:rPr>
              <w:t>基础保障</w:t>
            </w:r>
          </w:p>
        </w:tc>
        <w:tc>
          <w:tcPr>
            <w:tcW w:w="733" w:type="dxa"/>
            <w:vAlign w:val="center"/>
          </w:tcPr>
          <w:p>
            <w:pPr>
              <w:ind w:firstLine="0" w:firstLineChars="0"/>
              <w:jc w:val="center"/>
              <w:rPr>
                <w:rFonts w:ascii="仿宋" w:hAnsi="仿宋"/>
                <w:sz w:val="24"/>
                <w:szCs w:val="24"/>
              </w:rPr>
            </w:pPr>
            <w:r>
              <w:rPr>
                <w:rFonts w:hint="eastAsia" w:ascii="仿宋" w:hAnsi="仿宋"/>
                <w:sz w:val="24"/>
                <w:szCs w:val="24"/>
              </w:rPr>
              <w:t>32</w:t>
            </w:r>
          </w:p>
        </w:tc>
        <w:tc>
          <w:tcPr>
            <w:tcW w:w="4958" w:type="dxa"/>
            <w:vAlign w:val="center"/>
          </w:tcPr>
          <w:p>
            <w:pPr>
              <w:ind w:firstLine="0" w:firstLineChars="0"/>
              <w:jc w:val="left"/>
              <w:rPr>
                <w:rFonts w:ascii="仿宋" w:hAnsi="仿宋"/>
                <w:sz w:val="24"/>
                <w:szCs w:val="24"/>
              </w:rPr>
            </w:pPr>
            <w:r>
              <w:rPr>
                <w:rFonts w:hint="eastAsia" w:ascii="仿宋" w:hAnsi="仿宋"/>
                <w:sz w:val="24"/>
                <w:szCs w:val="24"/>
              </w:rPr>
              <w:t>社会建设和民政领域政务服务事项网上办理率（</w:t>
            </w:r>
            <w:r>
              <w:rPr>
                <w:rFonts w:ascii="仿宋" w:hAnsi="仿宋"/>
                <w:sz w:val="24"/>
                <w:szCs w:val="24"/>
              </w:rPr>
              <w:t>%）</w:t>
            </w:r>
          </w:p>
        </w:tc>
        <w:tc>
          <w:tcPr>
            <w:tcW w:w="1091" w:type="dxa"/>
            <w:vAlign w:val="center"/>
          </w:tcPr>
          <w:p>
            <w:pPr>
              <w:ind w:firstLine="0" w:firstLineChars="0"/>
              <w:jc w:val="center"/>
              <w:rPr>
                <w:rFonts w:ascii="仿宋" w:hAnsi="仿宋"/>
                <w:sz w:val="24"/>
                <w:szCs w:val="24"/>
              </w:rPr>
            </w:pPr>
            <w:r>
              <w:rPr>
                <w:rFonts w:ascii="仿宋" w:hAnsi="仿宋"/>
                <w:sz w:val="24"/>
                <w:szCs w:val="24"/>
              </w:rPr>
              <w:t>85</w:t>
            </w:r>
          </w:p>
        </w:tc>
        <w:tc>
          <w:tcPr>
            <w:tcW w:w="1156" w:type="dxa"/>
            <w:vAlign w:val="center"/>
          </w:tcPr>
          <w:p>
            <w:pPr>
              <w:ind w:firstLine="0" w:firstLineChars="0"/>
              <w:jc w:val="center"/>
              <w:rPr>
                <w:rFonts w:ascii="仿宋" w:hAnsi="仿宋"/>
                <w:sz w:val="24"/>
                <w:szCs w:val="24"/>
              </w:rPr>
            </w:pPr>
            <w:r>
              <w:rPr>
                <w:rFonts w:ascii="仿宋" w:hAnsi="仿宋"/>
                <w:sz w:val="24"/>
                <w:szCs w:val="24"/>
              </w:rPr>
              <w:t>95</w:t>
            </w:r>
          </w:p>
        </w:tc>
      </w:tr>
    </w:tbl>
    <w:p>
      <w:pPr>
        <w:ind w:firstLine="480"/>
        <w:jc w:val="left"/>
        <w:rPr>
          <w:rFonts w:ascii="仿宋_GB2312" w:hAnsi="仿宋" w:cs="仿宋"/>
          <w:sz w:val="24"/>
          <w:szCs w:val="24"/>
        </w:rPr>
      </w:pPr>
      <w:r>
        <w:rPr>
          <w:rFonts w:hint="eastAsia" w:ascii="仿宋_GB2312" w:hAnsi="仿宋" w:cs="仿宋"/>
          <w:sz w:val="24"/>
          <w:szCs w:val="24"/>
        </w:rPr>
        <w:t>备注：上表中带*的指标均为约束性指标，其它指标均为预期性指标。</w:t>
      </w:r>
    </w:p>
    <w:p>
      <w:pPr>
        <w:pStyle w:val="2"/>
        <w:ind w:firstLine="640"/>
      </w:pPr>
    </w:p>
    <w:bookmarkEnd w:id="59"/>
    <w:p>
      <w:pPr>
        <w:pStyle w:val="16"/>
        <w:rPr>
          <w:sz w:val="36"/>
          <w:szCs w:val="36"/>
        </w:rPr>
      </w:pPr>
      <w:bookmarkStart w:id="60" w:name="_Toc76637548"/>
      <w:bookmarkStart w:id="61" w:name="_Toc92172073"/>
      <w:bookmarkStart w:id="62" w:name="_Toc51553151"/>
      <w:r>
        <w:rPr>
          <w:rFonts w:hint="eastAsia"/>
          <w:sz w:val="36"/>
          <w:szCs w:val="36"/>
        </w:rPr>
        <w:t>第三部分</w:t>
      </w:r>
      <w:r>
        <w:rPr>
          <w:sz w:val="36"/>
          <w:szCs w:val="36"/>
        </w:rPr>
        <w:t xml:space="preserve"> </w:t>
      </w:r>
      <w:r>
        <w:rPr>
          <w:rFonts w:hint="eastAsia"/>
          <w:sz w:val="36"/>
          <w:szCs w:val="36"/>
        </w:rPr>
        <w:t>“十四五”时期主要任务</w:t>
      </w:r>
      <w:bookmarkEnd w:id="60"/>
      <w:bookmarkEnd w:id="61"/>
      <w:bookmarkEnd w:id="62"/>
    </w:p>
    <w:p>
      <w:pPr>
        <w:pStyle w:val="4"/>
        <w:ind w:firstLine="643"/>
      </w:pPr>
      <w:bookmarkStart w:id="63" w:name="_Toc92172074"/>
      <w:r>
        <w:rPr>
          <w:rFonts w:hint="eastAsia"/>
        </w:rPr>
        <w:t>一、建设公平可持续的基本民生保障体系</w:t>
      </w:r>
      <w:bookmarkEnd w:id="63"/>
    </w:p>
    <w:p>
      <w:pPr>
        <w:pStyle w:val="5"/>
        <w:ind w:firstLine="643"/>
        <w:rPr>
          <w:sz w:val="32"/>
        </w:rPr>
      </w:pPr>
      <w:bookmarkStart w:id="64" w:name="_Toc92172075"/>
      <w:bookmarkStart w:id="65" w:name="_Toc76637554"/>
      <w:r>
        <w:rPr>
          <w:rFonts w:hint="eastAsia"/>
          <w:sz w:val="32"/>
        </w:rPr>
        <w:t>（一）完善社会救助救济体系</w:t>
      </w:r>
      <w:bookmarkEnd w:id="64"/>
      <w:bookmarkEnd w:id="65"/>
    </w:p>
    <w:p>
      <w:pPr>
        <w:ind w:firstLine="643"/>
        <w:rPr>
          <w:rFonts w:ascii="仿宋_GB2312"/>
        </w:rPr>
      </w:pPr>
      <w:bookmarkStart w:id="66" w:name="_Toc76637555"/>
      <w:r>
        <w:rPr>
          <w:rFonts w:hint="eastAsia" w:ascii="仿宋_GB2312"/>
          <w:b/>
          <w:bCs/>
        </w:rPr>
        <w:t>1.建立精准高效的社会救助机制</w:t>
      </w:r>
      <w:bookmarkEnd w:id="66"/>
      <w:r>
        <w:rPr>
          <w:rFonts w:hint="eastAsia" w:ascii="仿宋_GB2312"/>
          <w:b/>
          <w:bCs/>
        </w:rPr>
        <w:t>。织密困难群众社会救助防护网，</w:t>
      </w:r>
      <w:r>
        <w:rPr>
          <w:rFonts w:hint="eastAsia" w:ascii="仿宋_GB2312"/>
        </w:rPr>
        <w:t>加强与相关部门数据信息的整合共享，提高精准识别和服务困难群众的能力和效率。延伸社会救助神经末梢，加强镇（街）困难群众救助帮扶站点建设，着力发挥基层党组织和城乡社区的主动发现职能，推进社会救助从依申请受理向主动发现的转变。</w:t>
      </w:r>
      <w:r>
        <w:rPr>
          <w:rFonts w:hint="eastAsia" w:ascii="仿宋_GB2312"/>
          <w:b/>
          <w:bCs/>
        </w:rPr>
        <w:t>畅通“微循环”开放“大循环”</w:t>
      </w:r>
      <w:r>
        <w:rPr>
          <w:rFonts w:hint="eastAsia" w:ascii="仿宋_GB2312"/>
        </w:rPr>
        <w:t>，完善困难群众基础数据库信息，实现困难群众需求信息在不同层级和各相关部门间有效传递，确保困难群众应保尽保，救助服务精准、及时、有效。</w:t>
      </w:r>
      <w:r>
        <w:rPr>
          <w:rFonts w:hint="eastAsia" w:ascii="仿宋_GB2312"/>
          <w:b/>
          <w:bCs/>
        </w:rPr>
        <w:t>创新发展救助服务模式，</w:t>
      </w:r>
      <w:r>
        <w:rPr>
          <w:rFonts w:hint="eastAsia" w:ascii="仿宋_GB2312"/>
        </w:rPr>
        <w:t>建立解决相对贫困的长效机制，探索和推动“互联网+救助”“慈善+救助”“物质+服务”等多元化社会救助模式，完善分层分类梯度救助体系，实现“事前预防”和“事后托底”相衔接。完善社会救助工作的监管机制，推动实现社会救助工作公正、公平、规范有序。</w:t>
      </w:r>
    </w:p>
    <w:p>
      <w:pPr>
        <w:ind w:firstLine="643"/>
        <w:rPr>
          <w:rFonts w:ascii="仿宋_GB2312"/>
        </w:rPr>
      </w:pPr>
      <w:bookmarkStart w:id="67" w:name="_Toc76637558"/>
      <w:bookmarkStart w:id="68" w:name="_Toc51553155"/>
      <w:r>
        <w:rPr>
          <w:rFonts w:hint="eastAsia" w:ascii="仿宋_GB2312" w:cs="仿宋_GB2312"/>
          <w:b/>
          <w:bCs/>
        </w:rPr>
        <w:t>2.提升救助服务效率与能力</w:t>
      </w:r>
      <w:r>
        <w:rPr>
          <w:rFonts w:hint="eastAsia" w:ascii="仿宋_GB2312"/>
          <w:b/>
          <w:bCs/>
        </w:rPr>
        <w:t>。提升救助服务管理能力，</w:t>
      </w:r>
      <w:r>
        <w:rPr>
          <w:rFonts w:hint="eastAsia" w:ascii="仿宋_GB2312"/>
        </w:rPr>
        <w:t>强化民政部门指导、监督、检查等职责，加强对救助管理机构的日常指导和监督管理。制度化开展救助机构服务质量提升专项行动。依托救助管理信息系统，完善受助人员寻亲工作机制，广泛运用DNA比对、人像识别、大数据等现代技术，降低滞留人员规模。</w:t>
      </w:r>
      <w:r>
        <w:rPr>
          <w:rFonts w:hint="eastAsia" w:ascii="仿宋_GB2312"/>
          <w:b/>
          <w:bCs/>
        </w:rPr>
        <w:t>强化救助管理属地责任，</w:t>
      </w:r>
      <w:r>
        <w:rPr>
          <w:rFonts w:hint="eastAsia" w:ascii="仿宋_GB2312"/>
        </w:rPr>
        <w:t>发挥网格化管理优势，推动区、镇（街）、村（社区）更好履行对流浪乞讨人员的街面巡查、发现报告、问询劝导、引导护送等职责，强化属地部门的兜底保障职责。</w:t>
      </w:r>
      <w:r>
        <w:rPr>
          <w:rFonts w:hint="eastAsia" w:ascii="仿宋_GB2312"/>
          <w:b/>
          <w:bCs/>
        </w:rPr>
        <w:t>完善流浪乞讨人员救助工作机制，</w:t>
      </w:r>
      <w:r>
        <w:rPr>
          <w:rFonts w:hint="eastAsia" w:ascii="仿宋_GB2312"/>
        </w:rPr>
        <w:t>发挥区级流浪乞讨人员救助联席会议机制作用，完善区、镇（街）、村（社区）三级救助服务体系，细化民政、公安、城管、卫健、市场监管和消防等部门的救助管理工作职责。建立受助人员异常情况强制报告、定期统计报告、负责人定点联系等制度。建立救助管理特邀监督员制度，开展常态化监督检查。</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优化征地超转人员保障服务。</w:t>
      </w:r>
      <w:r>
        <w:rPr>
          <w:rFonts w:hint="eastAsia" w:ascii="仿宋_GB2312"/>
        </w:rPr>
        <w:t>参与《北京市建设征地补偿安置办法》修订工作。完善征地超转人员社会保障费用筹集、管理和使用办法，做好超转人员医疗费汇缴工作，方便超转人员看病就医。持续做好精准慰问和救助工作。促进征地超转综合管理平台建设和优化，加强数据共享，优化业务流程，提高精准服务水平。做好保障超转专户资金池可持续性的预警工作。</w:t>
      </w:r>
    </w:p>
    <w:p>
      <w:pPr>
        <w:pStyle w:val="5"/>
        <w:ind w:firstLine="643"/>
        <w:rPr>
          <w:rFonts w:ascii="仿宋" w:hAnsi="仿宋"/>
          <w:sz w:val="32"/>
        </w:rPr>
      </w:pPr>
      <w:bookmarkStart w:id="69" w:name="_Toc92172076"/>
      <w:bookmarkStart w:id="70" w:name="_Hlk91081151"/>
      <w:r>
        <w:rPr>
          <w:rFonts w:hint="eastAsia" w:ascii="仿宋" w:hAnsi="仿宋"/>
          <w:sz w:val="32"/>
        </w:rPr>
        <w:t>（二）大力发展养老服务体系</w:t>
      </w:r>
      <w:bookmarkEnd w:id="69"/>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夯实基本养老服务保障。</w:t>
      </w:r>
      <w:r>
        <w:rPr>
          <w:rFonts w:hint="eastAsia" w:ascii="仿宋_GB2312" w:hAnsi="仿宋"/>
          <w:szCs w:val="32"/>
        </w:rPr>
        <w:t>引导以公办养老机构为代表的养老服务机构，满足城乡特困、低保或低收入家庭失能、</w:t>
      </w:r>
      <w:r>
        <w:rPr>
          <w:rFonts w:hint="eastAsia" w:ascii="仿宋_GB2312"/>
        </w:rPr>
        <w:t>失智、高龄、重度残疾、计划生育特殊家庭老年人等基本养老服务重点保障对象的养老服务需求。优化既有养老机构的床位结构，提升护养型床位比例，引导养老机构增加失能失智照护服务床位，“十四五”时期至少有1所护养型床位不少于60%的区级公办养老机构，至少改造成1所具备集中接受城乡特困老年人的三星级以上乡镇敬老院。探索改革乡镇敬老院管理体制，提升机构服务标准和规范。整合学校、企业、行业协会力量，建立养老管理人才、专业技术人才常态化培训机制，持续提升养老服务管理和服务水平。到2025年，实现每万名老年人拥有养老护理员数不少于50名。</w:t>
      </w:r>
    </w:p>
    <w:p>
      <w:pPr>
        <w:ind w:firstLine="643"/>
        <w:rPr>
          <w:rFonts w:ascii="仿宋_GB2312" w:hAnsi="仿宋"/>
          <w:szCs w:val="3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提高养老服务供给质量。</w:t>
      </w:r>
      <w:r>
        <w:rPr>
          <w:rFonts w:hint="eastAsia" w:ascii="仿宋_GB2312"/>
        </w:rPr>
        <w:t>推动老龄事业发展，完善三级养老服务体系，建设长期集中养老床位、短期托养床位以及家庭照护床位等“三张床”，让老人享受连续、稳定、专业的养老服务。建成大兴区养老服务示范中心，实施镇级敬老院设施改造提升计划，推动镇街养老照料中心全覆盖，补充建设社区养老服务驿站、托老所，完善并落实驿站建设运营扶持政策，提升驿站服务水平和可持续发展能力，打通养老入户上门“最后一公里”。到2025年，建成运营镇（街）养老照料中心20家，进一步优化社区养老服务驿站布局。制定家庭照护床位实施方案，实现家庭照护床位服务项目多样化、服务标准统一化、服务流程规范化、服务队伍专业化、需求分析精准化，开展失能失智老年人家庭照护者技能培训，提升居家养老服务品质。深入推进医养康养结合，建设老年健康服务示范基地，大力发展老年人护理服务。创建镇街养老服务联合体，统筹优化区域养老资源，更好满足老年人对连续完整和优质养老服务的需求。</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创新城乡养老服务模式。</w:t>
      </w:r>
      <w:r>
        <w:rPr>
          <w:rFonts w:hint="eastAsia" w:ascii="仿宋_GB2312"/>
        </w:rPr>
        <w:t>推动开展智慧化养老服务，搭建智慧化服务平台，推广可穿戴电子设备等智慧设施应用，提供助餐、助浴、助洁、应急救援等服务。精准对接老年人需求，探索“物业+养老”模式，发挥社区养老服务驿站、物业公司的服务优势，丰富居家养老服务内容，提供老年人活动场地，满足老年人多层次、个性化需求。探索建立时间银行、农村互助养老、党建+农村养老等养老模式，完善农村地区“以院统站带点”养老服务体系。发动社会力量开展形式多样的敬老助老志愿活动、慈善活动。挖掘老龄人力资源潜能，开发为老服务岗位，鼓励支持低龄老年人帮扶高龄老年人。帮助老年人跨越“数字鸿沟”，组织开展丰富多样的老年活动，给予失独、失能、失智老人更多关怀，营造孝老敬亲的老年友好社会环境。</w:t>
      </w:r>
    </w:p>
    <w:p>
      <w:pPr>
        <w:ind w:firstLine="643"/>
        <w:rPr>
          <w:rFonts w:ascii="仿宋_GB2312" w:hAnsi="仿宋"/>
          <w:szCs w:val="3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培育高品质银发产业。</w:t>
      </w:r>
      <w:r>
        <w:rPr>
          <w:rFonts w:hint="eastAsia" w:ascii="仿宋_GB2312"/>
        </w:rPr>
        <w:t>探索集体经营性建设用地发展老龄产业路径，依托临空经济区，打造面向全年龄人群，提供全方位健康管理的健康管理示范中心，推进国际康养社区建设。结合对口支援合作、京津冀（蒙）区域养老服务协同发展等任务，探索建设具有示范效应的休闲养老、健康养老等异地养老基地，为老年人异地养老创造良好环境，打造大兴特色养老服务品牌。推动老年产品用品研发应用，落实市级老年人康复辅助器具示范推广和配置服务管理办法，老年人康复辅助器具配置、租赁、回收和融资租赁办法，推动康复辅助器具产品创新和配置服务深度融合。</w:t>
      </w:r>
    </w:p>
    <w:p>
      <w:pPr>
        <w:ind w:firstLine="643"/>
        <w:rPr>
          <w:rFonts w:ascii="仿宋_GB2312"/>
        </w:rPr>
      </w:pPr>
      <w:r>
        <w:rPr>
          <w:rFonts w:hint="eastAsia" w:ascii="仿宋_GB2312" w:hAnsi="仿宋"/>
          <w:b/>
          <w:bCs/>
          <w:szCs w:val="32"/>
        </w:rPr>
        <w:t>5</w:t>
      </w:r>
      <w:r>
        <w:rPr>
          <w:rFonts w:hint="eastAsia" w:ascii="仿宋_GB2312" w:hAnsi="仿宋" w:cs="仿宋_GB2312"/>
          <w:b/>
          <w:bCs/>
          <w:szCs w:val="32"/>
        </w:rPr>
        <w:t>.</w:t>
      </w:r>
      <w:r>
        <w:rPr>
          <w:rFonts w:hint="eastAsia" w:ascii="仿宋_GB2312" w:hAnsi="仿宋"/>
          <w:b/>
          <w:bCs/>
          <w:szCs w:val="32"/>
        </w:rPr>
        <w:t>强化养老服务监督管理。</w:t>
      </w:r>
      <w:r>
        <w:rPr>
          <w:rFonts w:hint="eastAsia" w:ascii="仿宋_GB2312"/>
        </w:rPr>
        <w:t>建立健全政府主导、机构主责、部门协同、行业自律、社会监督的养老服务综合监管制度。实行“履职照单免责、失职照单问责”的责任清单制度。建立健全养老服务领域安全风险分级管控、隐患排查治理、应急救援机制。加强消防安全、食品药品、非法集资等风险排查与监测预警协同处置，常态化开展养老服务安全综合检查，提升养老服务机构安全生产整体防控能力。继续推动将养老服务工作纳入政府绩效考核范围和“七有”“五性”评价监测体系。持续推进养老服务标准化建设，开展养老服务机构服务质量达标活动，全面实施养老服务机构服务质量星级评定。加快推进养老服务领域社会信用体系建设，落实失信联合惩戒及退出机制。发挥区养老服务行业协会的作用，将行业监管与诚信体系相结合，实现“行业自律”“同业互助”和“同业监管”的新气象。</w:t>
      </w:r>
    </w:p>
    <w:bookmarkEnd w:id="67"/>
    <w:bookmarkEnd w:id="68"/>
    <w:bookmarkEnd w:id="70"/>
    <w:p>
      <w:pPr>
        <w:pStyle w:val="5"/>
        <w:ind w:firstLine="643"/>
        <w:rPr>
          <w:sz w:val="32"/>
        </w:rPr>
      </w:pPr>
      <w:bookmarkStart w:id="71" w:name="_Toc92172077"/>
      <w:r>
        <w:rPr>
          <w:rFonts w:hint="eastAsia"/>
          <w:sz w:val="32"/>
        </w:rPr>
        <w:t>（三）持续优化残疾人服务体系</w:t>
      </w:r>
      <w:bookmarkEnd w:id="71"/>
    </w:p>
    <w:p>
      <w:pPr>
        <w:ind w:firstLine="643"/>
        <w:rPr>
          <w:rFonts w:ascii="仿宋_GB2312" w:hAnsi="仿宋"/>
          <w:szCs w:val="32"/>
        </w:rPr>
      </w:pPr>
      <w:r>
        <w:rPr>
          <w:rFonts w:hint="eastAsia" w:ascii="仿宋_GB2312" w:hAnsi="仿宋" w:cs="宋体"/>
          <w:b/>
          <w:bCs/>
          <w:szCs w:val="32"/>
        </w:rPr>
        <w:t>1</w:t>
      </w:r>
      <w:r>
        <w:rPr>
          <w:rFonts w:hint="eastAsia" w:ascii="仿宋_GB2312" w:hAnsi="仿宋" w:cs="仿宋_GB2312"/>
          <w:b/>
          <w:bCs/>
          <w:szCs w:val="32"/>
        </w:rPr>
        <w:t>.</w:t>
      </w:r>
      <w:r>
        <w:rPr>
          <w:rFonts w:hint="eastAsia" w:ascii="仿宋_GB2312" w:hAnsi="仿宋" w:cs="宋体"/>
          <w:b/>
          <w:bCs/>
          <w:szCs w:val="32"/>
        </w:rPr>
        <w:t>落实残疾人社会福利保障制度。</w:t>
      </w:r>
      <w:r>
        <w:rPr>
          <w:rFonts w:hint="eastAsia" w:ascii="仿宋_GB2312"/>
        </w:rPr>
        <w:t>落实困难残疾人生活补贴和重度残疾人护理补贴制度。落实《北京市市民居家养老（助残）服务（“九养”）办法》，对符合条件申请养老助残券的残疾人实现“应享尽享”。落实残疾学生和困难家庭残疾人子女助学政策。落实残疾人居家环境无障碍改造补贴制度。落实严重精神障碍者门诊使用基本药品免费制度，优化免费服药目录。将陷入生活困境的残疾人纳入精准救助体系，对符合条件的困难残疾人及时开展救助。对符合特困供养、最低生活保障待遇、低收入家庭救助条件的残疾人及其家庭实现“应保尽保”。落实残疾人参加城乡居民基本养老保险缴费补贴政策，有效发挥城乡居民基本养老保险的兜底功能。落实城乡居民基本医疗保险制度，将符合条件的残疾人康复医疗项目按规定纳入基本医疗保险报销范围。持续做好农村低收入残疾人家庭帮扶工作。</w:t>
      </w:r>
    </w:p>
    <w:p>
      <w:pPr>
        <w:ind w:firstLine="643"/>
        <w:rPr>
          <w:rFonts w:ascii="仿宋_GB2312" w:hAnsi="仿宋"/>
          <w:szCs w:val="32"/>
        </w:rPr>
      </w:pPr>
      <w:r>
        <w:rPr>
          <w:rFonts w:hint="eastAsia" w:ascii="仿宋_GB2312" w:hAnsi="仿宋" w:cs="宋体"/>
          <w:b/>
          <w:bCs/>
          <w:szCs w:val="32"/>
        </w:rPr>
        <w:t>2</w:t>
      </w:r>
      <w:r>
        <w:rPr>
          <w:rFonts w:hint="eastAsia" w:ascii="仿宋_GB2312" w:hAnsi="仿宋" w:cs="仿宋_GB2312"/>
          <w:b/>
          <w:bCs/>
          <w:szCs w:val="32"/>
        </w:rPr>
        <w:t>.</w:t>
      </w:r>
      <w:r>
        <w:rPr>
          <w:rFonts w:hint="eastAsia" w:ascii="仿宋_GB2312" w:hAnsi="仿宋" w:cs="宋体"/>
          <w:b/>
          <w:bCs/>
          <w:szCs w:val="32"/>
        </w:rPr>
        <w:t>加快发展残疾人托养和照护服务。</w:t>
      </w:r>
      <w:r>
        <w:rPr>
          <w:rFonts w:hint="eastAsia" w:ascii="仿宋_GB2312"/>
        </w:rPr>
        <w:t xml:space="preserve">建立健全以家庭为基础、社区为依托、机构为骨干的残疾人照护服务体系，为符合条件的重度残疾人提供多种形式社会化照护服务。落实寄宿托养补贴制度。加快推进康养结合照护服务发展，支持符合条件的养老（托养）服务机构开展专业康复服务。完善养老服务机构服务功能，增强适度普惠养老服务和护理型养老床位有效供给，满足盲人、聋人、失能失智等老年残疾人的服务需求。加快建设精神卫生福利机构，逐步形成布局合理、功能完善的民政精神卫生福利服务网络。加强温馨家园、职业康复劳动站建设，为符合条件的就业年龄段智力、稳定期精神和重度肢体残疾人提供职业康复、日间照料等服务。 </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推进残疾人服务机构设施建设。</w:t>
      </w:r>
      <w:r>
        <w:rPr>
          <w:rFonts w:hint="eastAsia" w:ascii="仿宋_GB2312"/>
        </w:rPr>
        <w:t>依托现有养老机构实行分区管理、区域合作等模式，到2025年，实现建成2处各不少于50张床位的智力残疾人员社会福利机构，拥有1所不少于100张床位的民政精神卫生福利机构。加大社区精神卫生康复机构建设。“十四五”期间，推动开展精神障碍社区康复服务，筹建大兴区精神障碍社区康复中心。</w:t>
      </w:r>
    </w:p>
    <w:p>
      <w:pPr>
        <w:ind w:firstLine="643"/>
        <w:rPr>
          <w:rFonts w:ascii="仿宋_GB2312"/>
        </w:rPr>
      </w:pPr>
      <w:r>
        <w:rPr>
          <w:rFonts w:hint="eastAsia" w:ascii="仿宋_GB2312"/>
          <w:b/>
          <w:bCs/>
        </w:rPr>
        <w:t>4</w:t>
      </w:r>
      <w:r>
        <w:rPr>
          <w:rFonts w:hint="eastAsia" w:ascii="仿宋_GB2312" w:cs="仿宋_GB2312"/>
          <w:b/>
          <w:bCs/>
        </w:rPr>
        <w:t>.</w:t>
      </w:r>
      <w:r>
        <w:rPr>
          <w:rFonts w:hint="eastAsia" w:ascii="仿宋_GB2312"/>
          <w:b/>
          <w:bCs/>
        </w:rPr>
        <w:t>加大残疾人就业帮扶力度。</w:t>
      </w:r>
      <w:r>
        <w:rPr>
          <w:rFonts w:hint="eastAsia" w:ascii="仿宋_GB2312"/>
        </w:rPr>
        <w:t>更好发挥残疾人就业保障金制度效用。落实残疾人按比例就业，为符合招用残疾人岗位补贴和社会保险补贴办理条件的用人单位发放补贴。加大对就业过渡期残疾人学生实习见习的支持。大力支持残疾人自主创业和灵活就业，鼓励残疾人通过新就业形态实现就业。引导具备条件的各类医疗机构吸纳盲人医疗按摩人员就业。发挥残疾人帮扶性就业基地、职业康复劳动站兜底作用，帮助残疾人实现帮扶性就业、辅助性就业，鼓励残疾人参与非物质文化遗产传承、传统工艺项目职业康复培训。树立职业康复劳动项目品牌，提高品牌影响力。</w:t>
      </w:r>
    </w:p>
    <w:p>
      <w:pPr>
        <w:ind w:firstLine="643"/>
        <w:rPr>
          <w:rFonts w:ascii="仿宋_GB2312"/>
        </w:rPr>
      </w:pPr>
      <w:r>
        <w:rPr>
          <w:rFonts w:hint="eastAsia" w:ascii="仿宋_GB2312"/>
          <w:b/>
          <w:bCs/>
        </w:rPr>
        <w:t>5</w:t>
      </w:r>
      <w:r>
        <w:rPr>
          <w:rFonts w:hint="eastAsia" w:ascii="仿宋_GB2312" w:cs="仿宋_GB2312"/>
          <w:b/>
          <w:bCs/>
        </w:rPr>
        <w:t>.</w:t>
      </w:r>
      <w:r>
        <w:rPr>
          <w:rFonts w:hint="eastAsia" w:ascii="仿宋_GB2312"/>
          <w:b/>
          <w:bCs/>
        </w:rPr>
        <w:t>促进残疾人服务业发展。</w:t>
      </w:r>
      <w:r>
        <w:rPr>
          <w:rFonts w:hint="eastAsia" w:ascii="仿宋_GB2312"/>
        </w:rPr>
        <w:t>加快康复辅助器具、康复教育、托养照护、生活服务、无障碍、文化休闲等残疾人服务业发展，满足残疾人多元化、多层次品质生活需求。采取政府购买服务、政府和社会资本合作等方式，加快培育助残社会组织和企业， 吸引社会力量和市场主体参与残疾人服务。优先扶持公益性、普惠性残疾人服务机构。</w:t>
      </w:r>
    </w:p>
    <w:p>
      <w:pPr>
        <w:ind w:firstLine="643"/>
        <w:rPr>
          <w:rFonts w:ascii="仿宋_GB2312" w:hAnsi="仿宋"/>
          <w:szCs w:val="32"/>
        </w:rPr>
      </w:pPr>
      <w:r>
        <w:rPr>
          <w:rFonts w:hint="eastAsia" w:ascii="仿宋_GB2312" w:hAnsi="仿宋"/>
          <w:b/>
          <w:bCs/>
          <w:szCs w:val="32"/>
        </w:rPr>
        <w:t>6</w:t>
      </w:r>
      <w:r>
        <w:rPr>
          <w:rFonts w:hint="eastAsia" w:ascii="仿宋_GB2312" w:hAnsi="仿宋" w:cs="仿宋_GB2312"/>
          <w:b/>
          <w:bCs/>
          <w:szCs w:val="32"/>
        </w:rPr>
        <w:t>.</w:t>
      </w:r>
      <w:r>
        <w:rPr>
          <w:rFonts w:hint="eastAsia" w:ascii="仿宋_GB2312" w:hAnsi="仿宋"/>
          <w:b/>
          <w:bCs/>
          <w:szCs w:val="32"/>
        </w:rPr>
        <w:t>提升无障碍设施建设和改造水平。</w:t>
      </w:r>
      <w:r>
        <w:rPr>
          <w:rFonts w:hint="eastAsia" w:ascii="仿宋_GB2312" w:hAnsi="仿宋"/>
          <w:szCs w:val="32"/>
        </w:rPr>
        <w:t>落实《北京市无障 碍环境建设条例》，坚持系统观念，在城市更新、乡村振兴、城市慢行系统建设、老旧小区改造、智慧城市建设等城乡建设和公共服务项目中统筹推进无障碍建设。持续消除无障碍出行“断点”，推进平面过街系统无障碍化，做好交通枢纽、公交站台、 老旧地铁站台无障碍环境提升，合理配置无障碍公交车、无障碍出租车。加快补齐城市居住社区无障碍短板，逐步解决街边门店的无障碍需求。依法推进宾馆酒店、商场 超市餐厅、医疗机构、公园景区绿地广场、公共厕所等公共服务场所无障碍环境建设和改造。实施残疾人、失能失智老人居家环境无障碍改造工程。</w:t>
      </w:r>
    </w:p>
    <w:p>
      <w:pPr>
        <w:pStyle w:val="5"/>
        <w:ind w:firstLine="643"/>
        <w:rPr>
          <w:rFonts w:ascii="仿宋" w:hAnsi="仿宋" w:cs="宋体"/>
          <w:b w:val="0"/>
          <w:bCs w:val="0"/>
          <w:sz w:val="32"/>
        </w:rPr>
      </w:pPr>
      <w:bookmarkStart w:id="72" w:name="_Toc92172078"/>
      <w:r>
        <w:rPr>
          <w:rFonts w:hint="eastAsia"/>
          <w:sz w:val="32"/>
        </w:rPr>
        <w:t>（四）加强儿童福利保护体系</w:t>
      </w:r>
      <w:bookmarkEnd w:id="72"/>
    </w:p>
    <w:p>
      <w:pPr>
        <w:ind w:firstLine="643"/>
        <w:rPr>
          <w:rFonts w:ascii="仿宋_GB2312" w:hAnsi="仿宋"/>
          <w:szCs w:val="3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健全儿童福利保护体制。</w:t>
      </w:r>
      <w:r>
        <w:rPr>
          <w:rFonts w:hint="eastAsia" w:ascii="仿宋_GB2312"/>
        </w:rPr>
        <w:t>全面落实党对儿童福利工作的领导。依法调整完善区未成年人保护工作协调机制，加强工作机构建设，发挥民政部门牵头作用，统筹、协调、督促和指导有关部门在各自职责范围内做好区儿童福利和保护工作。明确儿童福利机构和未成年人救助保护机构的职能定位，确保儿童福利和保障服务工作协调顺畅、无缝衔接，实</w:t>
      </w:r>
      <w:r>
        <w:rPr>
          <w:rFonts w:hint="eastAsia" w:ascii="仿宋_GB2312" w:hAnsi="仿宋"/>
          <w:szCs w:val="32"/>
        </w:rPr>
        <w:t>现儿童福利机构和未成人救助保护机构一体化转型发展。</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完善儿童福利保护制度。</w:t>
      </w:r>
      <w:r>
        <w:rPr>
          <w:rFonts w:hint="eastAsia" w:ascii="仿宋_GB2312" w:hAnsi="仿宋"/>
          <w:szCs w:val="32"/>
        </w:rPr>
        <w:t>规</w:t>
      </w:r>
      <w:r>
        <w:rPr>
          <w:rFonts w:hint="eastAsia" w:ascii="仿宋_GB2312"/>
        </w:rPr>
        <w:t xml:space="preserve">范儿童收养工作，理顺各类托养关系。推动落实婴幼儿营养津贴、婴幼儿重大疾病和意外伤害保险项目补贴等政策。全面落实和提高困境儿童医疗保障、教育资助、机构养育等分类保障工作，进一步提高困境儿童生活保障水平，完善落实补贴标准自然增长机制，探索建立家庭监护津贴机制。完善困境儿童巡视探访机制，建立家庭监护支持和帮扶服务体系，落实强制报告制度，及时采取救助保障措施。加强对成年后孤儿的精准分类安置。完善落实事实无人抚养儿童保障政策，实施事实无人抚养儿童助学工程。  </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加强儿童基本权益保障。</w:t>
      </w:r>
      <w:r>
        <w:rPr>
          <w:rFonts w:hint="eastAsia" w:ascii="仿宋_GB2312"/>
        </w:rPr>
        <w:t>加大对社区儿童主任、专业儿童社工的培养管理，支持指导村（居）民委员会按照专人专岗要求设立儿童主任，加强儿童督导员和儿童主任管理和激励保障。发展未成年人综合保护体系，引导支持社会工作机构、心理服务机构等社会专业力量参与，加强与相关部门协调配合、工作联动，依法处理儿童监护侵害行为。完善儿童福利机构功能，逐步推动儿童福利机构向社会化服务转型，面向辖区家庭的残疾儿童、重病儿童提供代养、康复、特教等服务。</w:t>
      </w:r>
    </w:p>
    <w:p>
      <w:pPr>
        <w:ind w:firstLine="643"/>
        <w:rPr>
          <w:rFonts w:ascii="仿宋_GB231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建立健全儿童福利设施体系。</w:t>
      </w:r>
      <w:r>
        <w:rPr>
          <w:rFonts w:hint="eastAsia" w:ascii="仿宋_GB2312"/>
        </w:rPr>
        <w:t>完善区儿童福利机构和未成年人救助保护机构建设，优化空间布局。依托区儿童福利机构，拓展未成年人救助保护功能。依法推进镇（街）未保工作站建设，稳步推进社区（村）儿童之家等基层儿童福利和保护功能建设，为社区（村）儿童提供学习、托管、娱乐等服务，为困境儿童和留守儿童提供关爱保护服务。到2025年，每万人户籍儿童机构床位数不少于15张。加强困境儿童和留守儿童等重点群体的信息化建设。</w:t>
      </w:r>
    </w:p>
    <w:p>
      <w:pPr>
        <w:pStyle w:val="4"/>
        <w:ind w:firstLine="643"/>
      </w:pPr>
      <w:bookmarkStart w:id="73" w:name="_Toc92172079"/>
      <w:r>
        <w:rPr>
          <w:rFonts w:hint="eastAsia"/>
        </w:rPr>
        <w:t>二、建设活力有序的基层社会治理体系</w:t>
      </w:r>
      <w:bookmarkEnd w:id="73"/>
    </w:p>
    <w:p>
      <w:pPr>
        <w:pStyle w:val="5"/>
        <w:ind w:firstLine="643"/>
        <w:rPr>
          <w:sz w:val="32"/>
        </w:rPr>
      </w:pPr>
      <w:bookmarkStart w:id="74" w:name="_Toc92172080"/>
      <w:r>
        <w:rPr>
          <w:rFonts w:hint="eastAsia"/>
          <w:sz w:val="32"/>
        </w:rPr>
        <w:t>（一）深化城乡社区治理服务创新</w:t>
      </w:r>
      <w:bookmarkEnd w:id="74"/>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提升基层政府治理和服务能力。</w:t>
      </w:r>
      <w:r>
        <w:rPr>
          <w:rFonts w:hint="eastAsia" w:ascii="仿宋_GB2312"/>
        </w:rPr>
        <w:t>深化街道管理体制改革，全面贯彻实施《加强新时代街道工作的意见》和《北京市街道办事处条例》，继续巩固街道机构改革成效。深化党建引领“吹哨报到”改革，加快完善基层治理应急机制、服务群众响应机制和抓落实“最后一公里”工作机制。加强镇政府服务能力建设，强化镇政府公共服务职能和对涉及本区域群众利益的重大决策、重大项目和公共服务设施布局的参与权和建议权，制定镇政府公共服务事项目录清单，把困难群众、特殊群体权益保障等纳入清单，明确服务对象、服务要求，推进乡镇行政执法改革。完善镇政府对区政府职能部门派出机构的考核机制。</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深化党建引领社区治理。</w:t>
      </w:r>
      <w:r>
        <w:rPr>
          <w:rFonts w:hint="eastAsia" w:ascii="仿宋_GB2312"/>
        </w:rPr>
        <w:t>持续实施社区党建“领头雁”工程，大力培育先进社区党组织，树立优秀社区书记先进典型，建成20个社区书记工作室示范点。完善以社区党组织为核心、社区居委会为主体、社区服务站为依托、社区社会组织为支撑，小区业委会（物管会）、物业服务企业、驻区单位、居民群众共同参与的社区治理体系。高水平推进“接诉即办”。强化未诉先办、主动治理，推动“热线+网格”深度融合，把治理单元从社区向楼门院延伸，到2025年，打造100个城乡社区楼门院治理示范点。加强基层民主建设，到2025年，社区居民委员会直接选举和户代表选举比例达到80%。做实村（居）民委员会下属委员会。健全完善社区专员制度。</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提升社区服务能力。</w:t>
      </w:r>
      <w:r>
        <w:rPr>
          <w:rFonts w:hint="eastAsia" w:ascii="仿宋_GB2312"/>
        </w:rPr>
        <w:t>继续推进社区议事厅建设，扩大“拉家常”议事会品牌效应。在全区所有社区普及“拉家常”议事会工作，实现多方参与、协商自治的“拉家常”议事会机制全覆盖，切实解决居民热点、难点问题，推动形成小事简议、快事快议、难事众议，不断提升民政管理与服务的精细化、信息化与智能化水平，将矛盾纠纷化解在基层。巩固提升“一刻钟社区服务圈”功能，推动新建社区配套建设“一刻钟社区服务圈”。加强“社区之家”规范化建设，推进社区各类资源开放共享。常态化开展“社区邻里节”活动。加强社区服务用房建设，对于条件允许的新建小区，逐步按最小规模500平方米配置。推进社区服务空间开放式建设，打造“办公空间最小化，服务空间最大化”的服务空间场景。推行“综合窗口”“全能社工”模式，完善全程代办、上门服务等机制，实施社区弹性工作制，提高服务效能，方便群众办事。</w:t>
      </w:r>
    </w:p>
    <w:p>
      <w:pPr>
        <w:ind w:firstLine="643"/>
        <w:rPr>
          <w:rFonts w:ascii="仿宋_GB2312"/>
        </w:rPr>
      </w:pPr>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加强农村社区建设。</w:t>
      </w:r>
      <w:r>
        <w:rPr>
          <w:rFonts w:hint="eastAsia" w:ascii="仿宋_GB2312"/>
        </w:rPr>
        <w:t>着力推动基本公共服务项目向农村社区延伸，健全农村社区服务设施和服务体系，加强农村社区服务站专职工作人员配备和管理，推动农村社区社会工作人才队伍和志愿者服务设施建设。建立村级议事协商会议、村民代表联系户等制度，推动形成民事民议、民事民办、民事民管的多层次基层协商格局。推进村级事务监督管理。加强村务监督委员会制度建设，落实“四议一审两公开”制度，实施村级事务阳光工程，发挥村规民约在提升基层社会治理能力中的积极作用。</w:t>
      </w:r>
    </w:p>
    <w:p>
      <w:pPr>
        <w:pStyle w:val="5"/>
        <w:ind w:firstLine="643"/>
        <w:rPr>
          <w:sz w:val="32"/>
        </w:rPr>
      </w:pPr>
      <w:bookmarkStart w:id="75" w:name="_Toc92172081"/>
      <w:r>
        <w:rPr>
          <w:rFonts w:hint="eastAsia"/>
          <w:sz w:val="32"/>
        </w:rPr>
        <w:t>（二）强化基层政权建设</w:t>
      </w:r>
      <w:bookmarkEnd w:id="75"/>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深入推进行政区划改革创新。</w:t>
      </w:r>
      <w:r>
        <w:rPr>
          <w:rFonts w:hint="eastAsia" w:ascii="仿宋_GB2312"/>
        </w:rPr>
        <w:t>在分析区划设置沿革、现状、解决问题的基础上，科学规划行政区划，不断完善行政区划结构体系，调整街道设立标准，统筹考虑人口规模密度、地域面积、人文历史、街区功能、居民认同等因素，优化街道行政区划设置。</w:t>
      </w:r>
    </w:p>
    <w:p>
      <w:pPr>
        <w:ind w:firstLine="643"/>
        <w:rPr>
          <w:rFonts w:ascii="仿宋_GB2312"/>
        </w:rPr>
      </w:pPr>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持续推进“撤村建居”工作。</w:t>
      </w:r>
      <w:r>
        <w:rPr>
          <w:rFonts w:hint="eastAsia" w:ascii="仿宋_GB2312"/>
        </w:rPr>
        <w:t>夯实乡村治理基底，推动农民向市民转变、农村向城市转型、土地向资产转化，全面实施拆迁村“撤村建居”。“十四五”期间，完成130个村的“撤村建居” 工作，切实维护村民的民主权利和合法财产权益。</w:t>
      </w:r>
    </w:p>
    <w:p>
      <w:pPr>
        <w:ind w:firstLine="643"/>
        <w:rPr>
          <w:rFonts w:ascii="仿宋_GB231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加强农村群众性自治组织建设。</w:t>
      </w:r>
      <w:r>
        <w:rPr>
          <w:rFonts w:hint="eastAsia" w:ascii="仿宋_GB2312"/>
        </w:rPr>
        <w:t>总结推广“红白理事会”“五老议事会”等经验，进一步完善村规民约，按照《关于进一步修订完善村民自治章程和居民公约的指导意见》，加大宣传，强化执行，不断提高乡村社会文明程度。</w:t>
      </w:r>
    </w:p>
    <w:p>
      <w:pPr>
        <w:pStyle w:val="5"/>
        <w:ind w:firstLine="643"/>
        <w:rPr>
          <w:sz w:val="32"/>
        </w:rPr>
      </w:pPr>
      <w:bookmarkStart w:id="76" w:name="_Toc92172082"/>
      <w:r>
        <w:rPr>
          <w:rFonts w:hint="eastAsia"/>
          <w:sz w:val="32"/>
        </w:rPr>
        <w:t>（三）加强社会组织培育管理</w:t>
      </w:r>
      <w:bookmarkEnd w:id="76"/>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完善社会组织党建体系。</w:t>
      </w:r>
      <w:r>
        <w:rPr>
          <w:rFonts w:hint="eastAsia" w:ascii="仿宋_GB2312"/>
        </w:rPr>
        <w:t>明确将社会组织党建写入社会组织章程，完善社会组织重大事项报告制度，实现社会组织党建和业务共同发力。加强党建工作队伍建设。推树一批社会组织党建活动品牌。</w:t>
      </w:r>
    </w:p>
    <w:p>
      <w:pPr>
        <w:ind w:firstLine="643"/>
        <w:rPr>
          <w:rFonts w:ascii="仿宋_GB2312"/>
        </w:rPr>
      </w:pPr>
      <w:r>
        <w:rPr>
          <w:rFonts w:hint="eastAsia" w:ascii="仿宋_GB2312" w:hAnsi="仿宋" w:cs="仿宋_GB2312"/>
          <w:b/>
          <w:color w:val="000000"/>
          <w:szCs w:val="32"/>
        </w:rPr>
        <w:t>2</w:t>
      </w:r>
      <w:r>
        <w:rPr>
          <w:rFonts w:hint="eastAsia" w:ascii="仿宋_GB2312" w:hAnsi="仿宋" w:cs="仿宋_GB2312"/>
          <w:b/>
          <w:bCs/>
          <w:szCs w:val="32"/>
        </w:rPr>
        <w:t>.</w:t>
      </w:r>
      <w:r>
        <w:rPr>
          <w:rFonts w:hint="eastAsia" w:ascii="仿宋_GB2312" w:hAnsi="仿宋" w:cs="仿宋_GB2312"/>
          <w:b/>
          <w:color w:val="000000"/>
          <w:szCs w:val="32"/>
        </w:rPr>
        <w:t>加强社会组织管理和监督。</w:t>
      </w:r>
      <w:r>
        <w:rPr>
          <w:rFonts w:hint="eastAsia" w:ascii="仿宋_GB2312"/>
        </w:rPr>
        <w:t>完善社会组织内部治理，推动健全以章程为核心的法人治理结构。推行分类管理制度，分类梳理监管清单，明确监管方式。加强社会组织日常管理，完善年检和评估工作。推动建立组织、民政、财务、税务、审计、价格、市场监管等部门各司其职、协同配合、分级负责、依法监管的综合监管体系。进一步夯实业务主管单位监管职责，加强对社会组织负责人、重大事项、财务收支、涉外合作、信息公开等的管理。健全风险排查制度。加强信用监管，严格执法监管，对违规违法的社会组织及时查处。加强僵尸社会组织清理整治工作。落实双重管理、备案管理相结合的分类登记管理制度。</w:t>
      </w:r>
    </w:p>
    <w:p>
      <w:pPr>
        <w:ind w:firstLine="643"/>
        <w:rPr>
          <w:rFonts w:ascii="仿宋_GB2312"/>
        </w:rPr>
      </w:pPr>
      <w:r>
        <w:rPr>
          <w:rFonts w:hint="eastAsia" w:ascii="仿宋_GB2312" w:hAnsi="仿宋" w:cs="仿宋_GB2312"/>
          <w:b/>
          <w:color w:val="000000"/>
          <w:szCs w:val="32"/>
        </w:rPr>
        <w:t>3</w:t>
      </w:r>
      <w:r>
        <w:rPr>
          <w:rFonts w:hint="eastAsia" w:ascii="仿宋_GB2312" w:hAnsi="仿宋" w:cs="仿宋_GB2312"/>
          <w:b/>
          <w:bCs/>
          <w:szCs w:val="32"/>
        </w:rPr>
        <w:t>.</w:t>
      </w:r>
      <w:r>
        <w:rPr>
          <w:rFonts w:hint="eastAsia" w:ascii="仿宋_GB2312" w:hAnsi="仿宋" w:cs="仿宋_GB2312"/>
          <w:b/>
          <w:color w:val="000000"/>
          <w:szCs w:val="32"/>
        </w:rPr>
        <w:t>加大培育扶持力度。</w:t>
      </w:r>
      <w:r>
        <w:rPr>
          <w:rFonts w:hint="eastAsia" w:ascii="仿宋_GB2312"/>
        </w:rPr>
        <w:t>完善社会组织孵化体系，推进区街社会组织孵化基地社会化专业化标准化发展。培育扶持社会组织做优做强。优化政府向社会组织购买服务的内容与体系，完善社会组织购买服务制度，动态更新购买服务目录。推进镇（街）建立购买服务制度。落实完善社区社会组织备案管理办法，鼓励镇（街）社会组织孵化基地与社区社会组织联合会合署办公。到2025年，全区镇（街）级社区社会组织联合会覆盖率不低于60%，社区社会组织达到6000家。</w:t>
      </w:r>
    </w:p>
    <w:p>
      <w:pPr>
        <w:ind w:firstLine="643"/>
        <w:rPr>
          <w:rFonts w:ascii="仿宋_GB2312"/>
        </w:rPr>
      </w:pPr>
      <w:r>
        <w:rPr>
          <w:rFonts w:hint="eastAsia" w:ascii="仿宋_GB2312" w:hAnsi="仿宋" w:cs="仿宋_GB2312"/>
          <w:b/>
          <w:color w:val="000000"/>
          <w:szCs w:val="32"/>
        </w:rPr>
        <w:t>4</w:t>
      </w:r>
      <w:r>
        <w:rPr>
          <w:rFonts w:hint="eastAsia" w:ascii="仿宋_GB2312" w:hAnsi="仿宋" w:cs="仿宋_GB2312"/>
          <w:b/>
          <w:bCs/>
          <w:szCs w:val="32"/>
        </w:rPr>
        <w:t>.</w:t>
      </w:r>
      <w:r>
        <w:rPr>
          <w:rFonts w:hint="eastAsia" w:ascii="仿宋_GB2312" w:hAnsi="仿宋" w:cs="仿宋_GB2312"/>
          <w:b/>
          <w:color w:val="000000"/>
          <w:szCs w:val="32"/>
        </w:rPr>
        <w:t>社会组织助力产业发展。</w:t>
      </w:r>
      <w:r>
        <w:rPr>
          <w:rFonts w:hint="eastAsia" w:ascii="仿宋_GB2312"/>
        </w:rPr>
        <w:t>优化社会组织结构，助力产业发展。优化社会组织结构和功能，鼓励发展应急类社会组织，优先发展行业协会商会类以及社区类、社会服务类、公益慈善类社会组织。鼓励并支持行业协会商会指导企业履行社会责任。强化政府引导作用，在企业税费减免等方面健全完善政策措施，激励企业主动履行社会责任。</w:t>
      </w:r>
    </w:p>
    <w:p>
      <w:pPr>
        <w:pStyle w:val="5"/>
        <w:ind w:firstLine="643"/>
        <w:rPr>
          <w:rFonts w:ascii="仿宋" w:hAnsi="仿宋"/>
          <w:sz w:val="32"/>
        </w:rPr>
      </w:pPr>
      <w:bookmarkStart w:id="77" w:name="_Toc92172083"/>
      <w:r>
        <w:rPr>
          <w:rFonts w:hint="eastAsia"/>
          <w:sz w:val="32"/>
        </w:rPr>
        <w:t>（四）促进社会工作发展</w:t>
      </w:r>
      <w:bookmarkEnd w:id="77"/>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完善社会工作发展的制度机制。</w:t>
      </w:r>
      <w:r>
        <w:rPr>
          <w:rFonts w:hint="eastAsia" w:ascii="仿宋_GB2312"/>
        </w:rPr>
        <w:t>大力拓展社会工作服务领域，推动社会工作向医务、教育、农村等领域深化。推动将社会工作人才发展经费纳入财政支持范围，列入年度经费预算。推进社会工作信用体系建设，建立健全专业社工机构、社会工作者的诚信档案，完善奖励、惩罚机制，促进行业自律。</w:t>
      </w:r>
    </w:p>
    <w:p>
      <w:pPr>
        <w:ind w:firstLine="643"/>
        <w:rPr>
          <w:rFonts w:ascii="仿宋_GB2312"/>
        </w:rPr>
      </w:pPr>
      <w:r>
        <w:rPr>
          <w:rFonts w:hint="eastAsia" w:ascii="仿宋_GB2312" w:hAnsi="仿宋" w:cs="仿宋_GB2312"/>
          <w:b/>
          <w:color w:val="000000"/>
          <w:szCs w:val="32"/>
        </w:rPr>
        <w:t>2</w:t>
      </w:r>
      <w:r>
        <w:rPr>
          <w:rFonts w:hint="eastAsia" w:ascii="仿宋_GB2312" w:hAnsi="仿宋" w:cs="仿宋_GB2312"/>
          <w:b/>
          <w:bCs/>
          <w:szCs w:val="32"/>
        </w:rPr>
        <w:t>.</w:t>
      </w:r>
      <w:r>
        <w:rPr>
          <w:rFonts w:hint="eastAsia" w:ascii="仿宋_GB2312" w:hAnsi="仿宋" w:cs="仿宋_GB2312"/>
          <w:b/>
          <w:color w:val="000000"/>
          <w:szCs w:val="32"/>
        </w:rPr>
        <w:t>促进社会工作专业化职业化发展。</w:t>
      </w:r>
      <w:r>
        <w:rPr>
          <w:rFonts w:hint="eastAsia" w:ascii="仿宋_GB2312"/>
        </w:rPr>
        <w:t>鼓励实际在岗人员参加专业学历教育和职业水平考试。面向与社会管理和公共服务相关的机构，开展社会工作理论和实务培训。推进全区民生领域相关部门工作人员参加社会工作专业培训。引导和鼓励高校毕业生到城乡社区就业创业。到2025年，按照统筹各社会工作领域发展原则，培育发展社会工作专业服务机构不少于160家。</w:t>
      </w:r>
    </w:p>
    <w:p>
      <w:pPr>
        <w:ind w:firstLine="643"/>
        <w:rPr>
          <w:rFonts w:ascii="仿宋_GB2312"/>
        </w:rPr>
      </w:pPr>
      <w:r>
        <w:rPr>
          <w:rFonts w:hint="eastAsia" w:ascii="仿宋_GB2312" w:hAnsi="仿宋"/>
          <w:b/>
        </w:rPr>
        <w:t>3</w:t>
      </w:r>
      <w:r>
        <w:rPr>
          <w:rFonts w:hint="eastAsia" w:ascii="仿宋_GB2312"/>
          <w:b/>
        </w:rPr>
        <w:t>.创新社工人才使用机制。</w:t>
      </w:r>
      <w:r>
        <w:rPr>
          <w:rFonts w:hint="eastAsia" w:ascii="仿宋_GB2312"/>
        </w:rPr>
        <w:t>鼓励社工人才在社会福利、困难群众救助、儿童服务、慈善促进、社区服务、残障康复、健康照料、老年人服务等公益岗位上提供服务。推动社区工作者和社会工作者融合发展。大力提高社区工作者本土化比例，选拔和培养一批优秀社区社会工作专业人才。到2025年，社区工作者本社区化率达到50%。发挥镇（街）基础平台作用，建立社会工作服务中心，有效发挥社工在社会动员、社区社会组织、基层社会治理的积极作用。组织开展社会工作领军人物、“最美社工”等评选选树活动，树立社会工作专业人才先进典型。到2025年，社会工作专业人才总量不少于4000人，获得社会工作者职业水平证书的专业人才不少于1500人。</w:t>
      </w:r>
    </w:p>
    <w:p>
      <w:pPr>
        <w:pStyle w:val="5"/>
        <w:ind w:firstLine="643"/>
        <w:rPr>
          <w:rFonts w:ascii="仿宋" w:hAnsi="仿宋"/>
          <w:sz w:val="32"/>
        </w:rPr>
      </w:pPr>
      <w:bookmarkStart w:id="78" w:name="_Toc92172084"/>
      <w:r>
        <w:rPr>
          <w:rFonts w:hint="eastAsia"/>
          <w:sz w:val="32"/>
        </w:rPr>
        <w:t>（五）推动志愿服务发展</w:t>
      </w:r>
      <w:bookmarkEnd w:id="78"/>
    </w:p>
    <w:p>
      <w:pPr>
        <w:ind w:firstLine="643"/>
        <w:rPr>
          <w:rFonts w:ascii="仿宋_GB2312"/>
        </w:rPr>
      </w:pPr>
      <w:r>
        <w:rPr>
          <w:rFonts w:hint="eastAsia" w:ascii="仿宋_GB2312" w:hAnsi="仿宋" w:cs="仿宋_GB2312"/>
          <w:b/>
          <w:color w:val="000000"/>
          <w:szCs w:val="32"/>
        </w:rPr>
        <w:t>1</w:t>
      </w:r>
      <w:r>
        <w:rPr>
          <w:rFonts w:hint="eastAsia" w:ascii="仿宋_GB2312" w:hAnsi="仿宋" w:cs="仿宋_GB2312"/>
          <w:b/>
          <w:bCs/>
          <w:szCs w:val="32"/>
        </w:rPr>
        <w:t>.</w:t>
      </w:r>
      <w:r>
        <w:rPr>
          <w:rFonts w:hint="eastAsia" w:ascii="仿宋_GB2312" w:hAnsi="仿宋" w:cs="仿宋_GB2312"/>
          <w:b/>
          <w:color w:val="000000"/>
          <w:szCs w:val="32"/>
        </w:rPr>
        <w:t>推动志愿服务规范化发展。</w:t>
      </w:r>
      <w:r>
        <w:rPr>
          <w:rFonts w:hint="eastAsia" w:ascii="仿宋_GB2312"/>
        </w:rPr>
        <w:t>落实《北京市志愿服务促进条例》。健全完善职责清晰、制度健全、运行顺畅的志愿服务行政管理体制。规范和支持志愿服务组织发展，做好志愿服务组织身份标识工作，接受市级指导，加强镇(街)对不具备登记条件的城乡社区志愿服务团体的管理，完善志愿服务组织项目开发、能力培养等扶持措施。建立志愿服务统计和发布制度。加强志愿服务监管。“十四五”时期，实名注册志愿者人数不少于全区常住人口比例的21%。</w:t>
      </w:r>
    </w:p>
    <w:p>
      <w:pPr>
        <w:ind w:firstLine="643"/>
      </w:pPr>
      <w:r>
        <w:rPr>
          <w:rFonts w:hint="eastAsia" w:ascii="仿宋_GB2312" w:hAnsi="仿宋"/>
          <w:b/>
        </w:rPr>
        <w:t>2</w:t>
      </w:r>
      <w:r>
        <w:rPr>
          <w:rFonts w:hint="eastAsia" w:ascii="仿宋_GB2312"/>
          <w:b/>
        </w:rPr>
        <w:t>.推动志愿服务常态化发展。</w:t>
      </w:r>
      <w:r>
        <w:rPr>
          <w:rFonts w:hint="eastAsia" w:ascii="仿宋_GB2312"/>
        </w:rPr>
        <w:t>支持志愿服务运营管理、教育培训、事业发展。依托社区综合服务设施加强志愿服务站建设，志愿服务站点在社区综合服务设施覆盖率达到80%。完善社区志愿服务供需对接、组织、服务、保障工作机制，促进志愿服务向楼门院、向居民身边延伸，探索通过项目化</w:t>
      </w:r>
      <w:r>
        <w:t>方式，</w:t>
      </w:r>
      <w:r>
        <w:rPr>
          <w:rFonts w:hint="eastAsia"/>
        </w:rPr>
        <w:t>记账补贴、时间银行等形式，推动志愿服务融入社区治理。多渠道引入资金，重点推进在养老助残、社会救助、社区治理、文明引导、儿童福利和未成年人保护等领域开展志愿服务活动，推出一批有影响力的志愿服务组织和志愿服务品牌项目。</w:t>
      </w:r>
    </w:p>
    <w:p>
      <w:pPr>
        <w:ind w:firstLine="643"/>
        <w:rPr>
          <w:rFonts w:ascii="仿宋_GB2312"/>
        </w:rPr>
      </w:pPr>
      <w:r>
        <w:rPr>
          <w:rFonts w:hint="eastAsia" w:ascii="仿宋_GB2312" w:hAnsi="仿宋"/>
          <w:b/>
        </w:rPr>
        <w:t>3</w:t>
      </w:r>
      <w:r>
        <w:rPr>
          <w:rFonts w:hint="eastAsia" w:ascii="仿宋_GB2312"/>
          <w:b/>
        </w:rPr>
        <w:t>.推动志愿服务专业化发展。</w:t>
      </w:r>
      <w:r>
        <w:rPr>
          <w:rFonts w:hint="eastAsia" w:ascii="仿宋_GB2312"/>
        </w:rPr>
        <w:t>完善志愿服务教育培训制度。围绕民生保障、社会服务、城市治理、大型活动服务、应急救援等急需领域，培育发展一批志愿服务专业人才和骨干队伍。积极引导志愿者和志愿组织在“志愿北京”平台进行注册及活动招募。建立“社工+志工”联动互促机制，鼓励志愿服务组织与专业社工机构联动发展、资源共享、互帮互促，形成社会工作引领改善志愿服务，志愿服务助力社会工作、拓展服务内容的良好格局。</w:t>
      </w:r>
    </w:p>
    <w:p>
      <w:pPr>
        <w:pStyle w:val="4"/>
        <w:ind w:firstLine="643"/>
      </w:pPr>
      <w:bookmarkStart w:id="79" w:name="_Toc76637565"/>
      <w:bookmarkStart w:id="80" w:name="_Toc92172085"/>
      <w:bookmarkStart w:id="81" w:name="_Toc51553166"/>
      <w:r>
        <w:rPr>
          <w:rFonts w:hint="eastAsia"/>
        </w:rPr>
        <w:t>三、建设均等高质量的基本社会服务</w:t>
      </w:r>
      <w:bookmarkEnd w:id="79"/>
      <w:r>
        <w:rPr>
          <w:rFonts w:hint="eastAsia"/>
        </w:rPr>
        <w:t>体系</w:t>
      </w:r>
      <w:bookmarkEnd w:id="80"/>
    </w:p>
    <w:p>
      <w:pPr>
        <w:pStyle w:val="5"/>
        <w:ind w:firstLine="643"/>
        <w:rPr>
          <w:sz w:val="32"/>
        </w:rPr>
      </w:pPr>
      <w:bookmarkStart w:id="82" w:name="_Toc76637566"/>
      <w:bookmarkStart w:id="83" w:name="_Toc92172086"/>
      <w:r>
        <w:rPr>
          <w:rFonts w:hint="eastAsia"/>
          <w:sz w:val="32"/>
        </w:rPr>
        <w:t>（一）创新婚姻家庭服务</w:t>
      </w:r>
      <w:bookmarkEnd w:id="82"/>
      <w:bookmarkEnd w:id="83"/>
    </w:p>
    <w:p>
      <w:pPr>
        <w:ind w:firstLine="643"/>
        <w:rPr>
          <w:bCs/>
          <w:color w:val="000000"/>
        </w:rPr>
      </w:pPr>
      <w:r>
        <w:rPr>
          <w:rFonts w:hint="eastAsia"/>
          <w:b/>
          <w:bCs/>
        </w:rPr>
        <w:t>持续创新和改进婚姻登记环境和服务品质，</w:t>
      </w:r>
      <w:r>
        <w:rPr>
          <w:rFonts w:hint="eastAsia"/>
        </w:rPr>
        <w:t>贯彻落实《民法典·婚姻家庭编》及北京市婚姻登记工作最新规范，进一步改进婚登服务环境，优化结婚离婚服务流程，持续推进婚姻登记机关管理服务工作规范化、标准化建设。加强婚姻登记人才队伍建设，继续健全婚姻登记工作者常态化培训轮训机制。</w:t>
      </w:r>
      <w:r>
        <w:rPr>
          <w:rFonts w:hint="eastAsia"/>
          <w:b/>
          <w:bCs/>
        </w:rPr>
        <w:t>继续开展创新和延伸服务</w:t>
      </w:r>
      <w:r>
        <w:rPr>
          <w:rFonts w:hint="eastAsia"/>
        </w:rPr>
        <w:t>，推行法律咨询、婚姻辅导、心理疏导等公益服务，提升“婚登婚检一站式”服务水平，引导登记对象主动参加婚前检查。加强与社区、社会组织、企事业单位等的联动，加大和谐家庭、良好家风、优生优育的宣传倡导力度。探索优化离婚冷静期的服务流程和工作方式，提高婚姻家庭辅导和矛盾调解工作效能，引导和推动大兴区婚俗改革与和谐家庭建设。研究探索婚姻中介服务机构监管措施，促进婚恋服务市场健康有序发展。</w:t>
      </w:r>
    </w:p>
    <w:p>
      <w:pPr>
        <w:pStyle w:val="5"/>
        <w:ind w:firstLine="643"/>
        <w:rPr>
          <w:sz w:val="32"/>
        </w:rPr>
      </w:pPr>
      <w:bookmarkStart w:id="84" w:name="_Toc76637567"/>
      <w:bookmarkStart w:id="85" w:name="_Toc92172087"/>
      <w:r>
        <w:rPr>
          <w:rFonts w:hint="eastAsia"/>
          <w:sz w:val="32"/>
        </w:rPr>
        <w:t>（二）持续深化殡葬改革</w:t>
      </w:r>
      <w:bookmarkEnd w:id="84"/>
      <w:bookmarkEnd w:id="85"/>
    </w:p>
    <w:p>
      <w:pPr>
        <w:ind w:firstLine="640"/>
        <w:rPr>
          <w:rFonts w:ascii="仿宋_GB2312"/>
        </w:rPr>
      </w:pPr>
      <w:r>
        <w:rPr>
          <w:rFonts w:hint="eastAsia" w:ascii="仿宋_GB2312"/>
        </w:rPr>
        <w:t>秉持“让逝者更有尊严、让环境更加宜居、让发展更有活力”的理念，持续深化殡葬改革。</w:t>
      </w:r>
      <w:r>
        <w:rPr>
          <w:rFonts w:hint="eastAsia" w:ascii="仿宋_GB2312"/>
          <w:b/>
          <w:bCs/>
        </w:rPr>
        <w:t>加快完善殡葬服务设施建设</w:t>
      </w:r>
      <w:r>
        <w:rPr>
          <w:rFonts w:hint="eastAsia" w:ascii="仿宋_GB2312"/>
        </w:rPr>
        <w:t>，落实《北京市殡葬设施专项规划（2018-2035）》，完善《大兴殡葬设施建设专项规划（2018-2035）》，进一步完善“一馆两墓多园”体系建设，加快天堂公墓的提升改造，规范农村公益性墓地建设及管理，持续推进散坟治理、妥善处置集中埋葬点。到2025年，镇级公益性公墓服务覆盖率达到100%，更好满足群众百年安葬需求。</w:t>
      </w:r>
      <w:r>
        <w:rPr>
          <w:rFonts w:hint="eastAsia" w:ascii="仿宋_GB2312"/>
          <w:b/>
          <w:bCs/>
        </w:rPr>
        <w:t>持续创新殡葬公共服务供给</w:t>
      </w:r>
      <w:r>
        <w:rPr>
          <w:rFonts w:hint="eastAsia" w:ascii="仿宋_GB2312"/>
        </w:rPr>
        <w:t>，大力倡导节地生态安葬、绿色殡葬理念。全面实施节地生态安葬奖补政策，到2025年，节地生态安葬率提升至65%。加大殡葬领域的政府公共服务投入，进一步扩大殡葬惠民服务清单，探索推进本区户籍逝者火化费用减免，实现惠民政策从殡到葬的全过程覆盖。</w:t>
      </w:r>
      <w:r>
        <w:rPr>
          <w:rFonts w:hint="eastAsia" w:ascii="仿宋_GB2312"/>
          <w:b/>
          <w:bCs/>
        </w:rPr>
        <w:t>全面净化殡葬市场，</w:t>
      </w:r>
      <w:r>
        <w:rPr>
          <w:rFonts w:hint="eastAsia" w:ascii="仿宋_GB2312"/>
        </w:rPr>
        <w:t>持续推动移风易俗。加强综合监管，坚决杜绝非法运尸及违规设置医院太平间等行业陋习死灰复燃。发挥殡葬行业协会作用，加强行业自律。注重发挥红白理事会在农村移风易俗中的正向引导作用。引导殡葬服务机构创新延伸殡葬服务供给，积极开展生命教育、临终关怀、丧亲抚慰等服务，满足群众对更高品质殡葬服务的需求。</w:t>
      </w:r>
    </w:p>
    <w:p>
      <w:pPr>
        <w:pStyle w:val="5"/>
        <w:ind w:firstLine="643"/>
        <w:rPr>
          <w:sz w:val="32"/>
        </w:rPr>
      </w:pPr>
      <w:bookmarkStart w:id="86" w:name="_Toc76637568"/>
      <w:bookmarkStart w:id="87" w:name="_Toc92172088"/>
      <w:r>
        <w:rPr>
          <w:rFonts w:hint="eastAsia"/>
          <w:sz w:val="32"/>
        </w:rPr>
        <w:t>（三）完善社会心理服务体系</w:t>
      </w:r>
      <w:bookmarkEnd w:id="86"/>
      <w:bookmarkEnd w:id="87"/>
    </w:p>
    <w:p>
      <w:pPr>
        <w:ind w:firstLine="640"/>
      </w:pPr>
      <w:r>
        <w:rPr>
          <w:rFonts w:hint="eastAsia" w:ascii="仿宋_GB2312"/>
        </w:rPr>
        <w:t>创新社会心理服务机制。建立健全政府购买社会心理服务机制，鼓励引导专业社会力量参与社会心态监测、分析、调适等服务，积极开展专业便利的社区心理服务。建立社会心理服务整合机制，搭建心理知识宣传与普及、心理教学与研究、心理服务与指导、心理调适与干预、社会心态预警与评估等互联互动平台。推动将社会心理健康教育纳入和谐社区、文明家庭创建内容，发挥家庭在社会心态建设中的基础性作用。适度建设专业心理服务人才队伍，强化兼职心理服务队伍建设，注重提高社区工作者的心理调适能力，建立专兼结合的社会（社区）心理服务队伍。做实社会心理服务网络。建立完善区、镇（街）、村（社区）三级社会心理服务体系，加强区级社会心理服务促进中心建设，发挥社区、村级社会心理服务站基础作用。明确各层级管理责任，聚焦群体心态调适，发挥服务党委政府、服务社会、服务基层、服务重点人群的作用。到2025年，社会心理服务覆盖社区（村）比例不低于80%，镇街级社会心理服务中心（站）全覆盖</w:t>
      </w:r>
      <w:r>
        <w:rPr>
          <w:rFonts w:hint="eastAsia"/>
        </w:rPr>
        <w:t>。</w:t>
      </w:r>
    </w:p>
    <w:p>
      <w:pPr>
        <w:pStyle w:val="5"/>
        <w:ind w:firstLine="643"/>
        <w:rPr>
          <w:sz w:val="32"/>
        </w:rPr>
      </w:pPr>
      <w:bookmarkStart w:id="88" w:name="_Toc92172089"/>
      <w:bookmarkStart w:id="89" w:name="_Toc76637569"/>
      <w:r>
        <w:rPr>
          <w:rFonts w:hint="eastAsia"/>
          <w:sz w:val="32"/>
        </w:rPr>
        <w:t>（四）持续推进慈善事业建设</w:t>
      </w:r>
      <w:bookmarkEnd w:id="88"/>
      <w:bookmarkEnd w:id="89"/>
    </w:p>
    <w:p>
      <w:pPr>
        <w:ind w:firstLine="643"/>
        <w:rPr>
          <w:rFonts w:ascii="仿宋_GB2312"/>
        </w:rPr>
      </w:pPr>
      <w:r>
        <w:rPr>
          <w:rFonts w:hint="eastAsia" w:ascii="仿宋_GB2312"/>
          <w:b/>
          <w:bCs/>
        </w:rPr>
        <w:t>发挥慈善事业在社会救助中的作用。</w:t>
      </w:r>
      <w:r>
        <w:rPr>
          <w:rFonts w:hint="eastAsia" w:ascii="仿宋_GB2312"/>
        </w:rPr>
        <w:t>完善基层“慈善+救助”精准对接机制，推进开展基层慈善捐赠工作站点建设，推动慈善机构为困境儿童、残疾人、老年人等弱势群体提供形式多样、精准投入的援助与帮扶等服务。</w:t>
      </w:r>
      <w:r>
        <w:rPr>
          <w:rFonts w:hint="eastAsia" w:ascii="仿宋_GB2312"/>
          <w:b/>
          <w:bCs/>
        </w:rPr>
        <w:t>推动社会力量参与慈善事业。</w:t>
      </w:r>
      <w:r>
        <w:rPr>
          <w:rFonts w:hint="eastAsia" w:ascii="仿宋_GB2312"/>
        </w:rPr>
        <w:t>创新慈善宣传方式，引导驻区企业和热心人士积极参与慈善事业，发挥大兴区慈善协会作用，推动开展区域性、综合性、特色性慈善活动，打造慈善品牌，提升社会参与度和行业影响力。</w:t>
      </w:r>
      <w:r>
        <w:rPr>
          <w:rFonts w:hint="eastAsia" w:ascii="仿宋_GB2312"/>
          <w:b/>
          <w:bCs/>
        </w:rPr>
        <w:t>培养和弘扬慈善理念</w:t>
      </w:r>
      <w:r>
        <w:rPr>
          <w:rFonts w:hint="eastAsia" w:ascii="仿宋_GB2312"/>
        </w:rPr>
        <w:t>。推动慈善工作深入村（居）委会，着力营造慈善氛围、弘扬慈善文化、建设文明城市。落实“首都慈善奖”评选表彰，推动将其纳入政府表彰序列，树立慈善典型，讲述慈善故事，弘扬慈善文化。加强慈善信用体系建设。到2025年，基层慈善服务站点对社区覆盖率不低于5%。</w:t>
      </w:r>
    </w:p>
    <w:p>
      <w:pPr>
        <w:pStyle w:val="5"/>
        <w:ind w:firstLine="643"/>
        <w:rPr>
          <w:sz w:val="32"/>
        </w:rPr>
      </w:pPr>
      <w:bookmarkStart w:id="90" w:name="_Toc92172090"/>
      <w:r>
        <w:rPr>
          <w:rFonts w:hint="eastAsia"/>
          <w:sz w:val="32"/>
        </w:rPr>
        <w:t>（五）加强见义勇为权益保护</w:t>
      </w:r>
      <w:bookmarkEnd w:id="90"/>
    </w:p>
    <w:p>
      <w:pPr>
        <w:ind w:firstLine="640"/>
      </w:pPr>
      <w:r>
        <w:rPr>
          <w:rFonts w:hint="eastAsia"/>
        </w:rPr>
        <w:t>完善区级见义勇为评审委员会工作机制，优化见义勇为行为确认工作程序。创新见义勇为宣传途径和形式，打造具有大兴特色的见义勇为文化精品，推进见义勇为教育基地建设，营造见义勇为光荣的良好社会氛围。</w:t>
      </w:r>
    </w:p>
    <w:bookmarkEnd w:id="81"/>
    <w:p>
      <w:pPr>
        <w:pStyle w:val="4"/>
        <w:ind w:firstLine="643"/>
      </w:pPr>
      <w:bookmarkStart w:id="91" w:name="_Toc92172091"/>
      <w:bookmarkStart w:id="92" w:name="_Toc51553171"/>
      <w:bookmarkStart w:id="93" w:name="_Toc76637570"/>
      <w:r>
        <w:rPr>
          <w:rFonts w:hint="eastAsia"/>
        </w:rPr>
        <w:t>四、建设智慧多元的民政基础支撑体系</w:t>
      </w:r>
      <w:bookmarkEnd w:id="91"/>
    </w:p>
    <w:p>
      <w:pPr>
        <w:pStyle w:val="5"/>
        <w:ind w:firstLine="643"/>
        <w:rPr>
          <w:sz w:val="32"/>
        </w:rPr>
      </w:pPr>
      <w:bookmarkStart w:id="94" w:name="_Toc92172092"/>
      <w:r>
        <w:rPr>
          <w:rFonts w:hint="eastAsia"/>
          <w:sz w:val="32"/>
        </w:rPr>
        <w:t>（一）推进智慧民政建设</w:t>
      </w:r>
      <w:bookmarkEnd w:id="92"/>
      <w:bookmarkEnd w:id="93"/>
      <w:bookmarkEnd w:id="94"/>
    </w:p>
    <w:p>
      <w:pPr>
        <w:ind w:firstLine="643"/>
        <w:rPr>
          <w:rFonts w:ascii="仿宋_GB2312"/>
        </w:rPr>
      </w:pPr>
      <w:bookmarkStart w:id="95" w:name="_Toc51553172"/>
      <w:bookmarkStart w:id="96" w:name="_Toc76637571"/>
      <w:r>
        <w:rPr>
          <w:rFonts w:hint="eastAsia" w:ascii="仿宋_GB2312"/>
          <w:b/>
          <w:bCs/>
        </w:rPr>
        <w:t>1</w:t>
      </w:r>
      <w:r>
        <w:rPr>
          <w:rFonts w:hint="eastAsia" w:ascii="仿宋_GB2312" w:cs="仿宋_GB2312"/>
          <w:b/>
          <w:bCs/>
        </w:rPr>
        <w:t>.</w:t>
      </w:r>
      <w:bookmarkEnd w:id="95"/>
      <w:r>
        <w:rPr>
          <w:rFonts w:hint="eastAsia" w:ascii="仿宋_GB2312"/>
          <w:b/>
          <w:bCs/>
        </w:rPr>
        <w:t>提升科技引领发展能力</w:t>
      </w:r>
      <w:bookmarkEnd w:id="96"/>
      <w:r>
        <w:rPr>
          <w:rFonts w:hint="eastAsia" w:ascii="仿宋_GB2312"/>
          <w:b/>
          <w:bCs/>
        </w:rPr>
        <w:t>。</w:t>
      </w:r>
      <w:r>
        <w:rPr>
          <w:rFonts w:hint="eastAsia" w:ascii="仿宋_GB2312"/>
        </w:rPr>
        <w:t>结合大兴区本地信息化实际情况，充分利用互联网、大数据分析、云技术等信息时代新技术，以创新为特征，立足大兴本地，筹建统一标准、综合覆盖、平台共享、实用智能的民政管理与服务信息平台，坚持突破重点、以点带面，力争在智慧养老、社区服务、殡葬服务等领域形成一批开创性的新技术新应用，为大兴区城乡社区和基层民政部门提供信息化支撑条件，改善社会组织和社会工作者提供信息化服务环境，全面提升民政系统社会服务和社会管理能力和水平，为社会公众特别是困难群众提供便捷、优质、高效的社会服务。</w:t>
      </w:r>
    </w:p>
    <w:p>
      <w:pPr>
        <w:ind w:firstLine="643"/>
        <w:rPr>
          <w:rFonts w:ascii="仿宋_GB2312"/>
        </w:rPr>
      </w:pPr>
      <w:bookmarkStart w:id="97" w:name="_Toc76637572"/>
      <w:r>
        <w:rPr>
          <w:rFonts w:hint="eastAsia" w:ascii="仿宋_GB2312" w:hAnsi="仿宋"/>
          <w:b/>
          <w:bCs/>
          <w:szCs w:val="32"/>
        </w:rPr>
        <w:t>2</w:t>
      </w:r>
      <w:r>
        <w:rPr>
          <w:rFonts w:hint="eastAsia" w:ascii="仿宋_GB2312" w:hAnsi="仿宋" w:cs="仿宋_GB2312"/>
          <w:b/>
          <w:bCs/>
          <w:szCs w:val="32"/>
        </w:rPr>
        <w:t>.</w:t>
      </w:r>
      <w:r>
        <w:rPr>
          <w:rFonts w:hint="eastAsia" w:ascii="仿宋_GB2312" w:hAnsi="仿宋"/>
          <w:b/>
          <w:bCs/>
          <w:szCs w:val="32"/>
        </w:rPr>
        <w:t>实施民政“互联网+”计划</w:t>
      </w:r>
      <w:bookmarkEnd w:id="97"/>
      <w:r>
        <w:rPr>
          <w:rFonts w:hint="eastAsia" w:ascii="仿宋_GB2312" w:hAnsi="仿宋"/>
          <w:b/>
          <w:bCs/>
          <w:szCs w:val="32"/>
        </w:rPr>
        <w:t>。</w:t>
      </w:r>
      <w:r>
        <w:rPr>
          <w:rFonts w:hint="eastAsia" w:ascii="仿宋_GB2312"/>
        </w:rPr>
        <w:t>构建“互联网+民政服务”平台和网络。整合资源，形成民政统一信息基础设施，推动与第三方平台对接，构建大兴区统一、上下协同、综合支撑的“互联网+民政服务”平台，为各类业务应用提供稳定、高效、安全、可扩展的云计算、大数据和人工智能服务。加强政务服务管理，深入开展民政政务信息系统整合共享，打破内部信息孤岛，集中汇聚各级各类民政政务数据资源，建立民政数据资源体系，实现底数清、数据准、情况明，数据决策支持能力显著提升。改进和创新服务事项管理、服务运行管理、电子监察管理模式，推进各类服务渠道整合共享，为提供无差异、均等化的“互联网+民政服务”奠定基础。开展“互联网+”典型应用服务。通过建设智慧民政服务平台，实现“智慧婚登”“智慧养老”“智慧社区”“智慧殡葬”等互联网应用功能，聚焦人民群众关心、社会关注事项开展应用服务，通过跨业务应用融合、数据共享形成协同效应，带动和提升民政服务整体水平。</w:t>
      </w:r>
    </w:p>
    <w:p>
      <w:pPr>
        <w:ind w:firstLine="643"/>
        <w:rPr>
          <w:rFonts w:ascii="仿宋_GB2312"/>
        </w:rPr>
      </w:pPr>
      <w:bookmarkStart w:id="98" w:name="_Toc76637573"/>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实施民政“大数据”创新计划</w:t>
      </w:r>
      <w:bookmarkEnd w:id="98"/>
      <w:r>
        <w:rPr>
          <w:rFonts w:hint="eastAsia" w:ascii="仿宋_GB2312" w:hAnsi="仿宋"/>
          <w:b/>
          <w:bCs/>
          <w:szCs w:val="32"/>
        </w:rPr>
        <w:t>。</w:t>
      </w:r>
      <w:r>
        <w:rPr>
          <w:rFonts w:hint="eastAsia" w:ascii="仿宋_GB2312"/>
        </w:rPr>
        <w:t>通过建立民政综合数据平台，实现对业务办理全过程的监控和督查，确保科室业务操作的科学性和规范性。数据建设范围覆盖养老、婚登、殡葬、社会救助、社会福利与慈善、社会专项事务等民政全业务，充分考虑民政业务信息化、系统来源多元化、业务多样化的特性，通过民政综合数据平台与区级大数据平台对接，在确保业务统一性、关联性的前提下，实现开放式的兼容整合。</w:t>
      </w:r>
    </w:p>
    <w:p>
      <w:pPr>
        <w:ind w:firstLine="643"/>
        <w:rPr>
          <w:rFonts w:ascii="仿宋_GB2312" w:hAnsi="仿宋"/>
          <w:szCs w:val="32"/>
        </w:rPr>
      </w:pPr>
      <w:bookmarkStart w:id="99" w:name="_Toc76637575"/>
      <w:r>
        <w:rPr>
          <w:rFonts w:hint="eastAsia" w:ascii="仿宋_GB2312" w:hAnsi="仿宋"/>
          <w:b/>
          <w:bCs/>
          <w:szCs w:val="32"/>
        </w:rPr>
        <w:t>4</w:t>
      </w:r>
      <w:r>
        <w:rPr>
          <w:rFonts w:hint="eastAsia" w:ascii="仿宋_GB2312" w:hAnsi="仿宋" w:cs="仿宋_GB2312"/>
          <w:b/>
          <w:bCs/>
          <w:szCs w:val="32"/>
        </w:rPr>
        <w:t>.</w:t>
      </w:r>
      <w:r>
        <w:rPr>
          <w:rFonts w:hint="eastAsia" w:ascii="仿宋_GB2312" w:hAnsi="仿宋"/>
          <w:b/>
          <w:bCs/>
          <w:szCs w:val="32"/>
        </w:rPr>
        <w:t>实施信息化重点工程</w:t>
      </w:r>
      <w:bookmarkEnd w:id="99"/>
      <w:r>
        <w:rPr>
          <w:rFonts w:hint="eastAsia" w:ascii="仿宋_GB2312" w:hAnsi="仿宋"/>
          <w:b/>
          <w:bCs/>
          <w:szCs w:val="32"/>
        </w:rPr>
        <w:t>。</w:t>
      </w:r>
      <w:r>
        <w:rPr>
          <w:rFonts w:hint="eastAsia" w:ascii="仿宋_GB2312"/>
        </w:rPr>
        <w:t>打造数字民政，统一标准、立足本地、兼容并蓄，实现民政领域数字化升级，重点推进“智慧民政”平台信息化项目建设，提升民政工作智慧化程度。智慧民政一期实现平台基础架构搭建，实现民政重点业务的在线办理和便民服务。智慧民政二期进一步优化内部服务流程，推进服务标准化规范化，完善相关网点的智慧化基础设施搭建，建设具有大兴特色的养老服务平台和殡葬业务平台。实施民政“业务场景设计”应用计划，在已有平台的基础上，建设覆盖民政全部业务的便民服务体系，全面加强民政服务深度和广度，进一步推动社区建设、基层政权建设、社会组织建设管理、社工人才教育管理、养老服务、困境儿童保障、残疾人福利体系建设、社会救助、慈善事业、区划管理、征地超转人员管理、见义勇为权益保护、接济服务管理以及流浪乞讨人员救助管理等工作，建成全业务民政社会服务系统。到2025年，实现社会建设和民政领域政务服务事项网上办理率达到95%。</w:t>
      </w:r>
    </w:p>
    <w:p>
      <w:pPr>
        <w:pStyle w:val="5"/>
        <w:ind w:firstLine="643"/>
        <w:rPr>
          <w:sz w:val="32"/>
        </w:rPr>
      </w:pPr>
      <w:bookmarkStart w:id="100" w:name="_Toc92172093"/>
      <w:r>
        <w:rPr>
          <w:rFonts w:hint="eastAsia"/>
          <w:sz w:val="32"/>
        </w:rPr>
        <w:t>（二）加强法治民政建设</w:t>
      </w:r>
      <w:bookmarkEnd w:id="100"/>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强化民政执法效能。</w:t>
      </w:r>
      <w:r>
        <w:rPr>
          <w:rFonts w:hint="eastAsia" w:ascii="仿宋_GB2312"/>
        </w:rPr>
        <w:t>落实落细科学规范、程序严密、配套完备、运行有效的民政法规制度体系，完善权责统一、程序正当、监督有效、保障有力的民政执法机制，形成上下联动、多方参与、学用结合、注重实效的民政普法格局。做好执法培训，进一步提高大兴区民政执法能力和水平，以全面优化营商环境为目标，不断优化服务，规范执法行为，健全执法机制。</w:t>
      </w:r>
    </w:p>
    <w:p>
      <w:pPr>
        <w:ind w:firstLine="643"/>
        <w:rPr>
          <w:rFonts w:ascii="仿宋_GB2312" w:hAnsi="仿宋"/>
          <w:b/>
          <w:bCs/>
          <w:szCs w:val="32"/>
        </w:rPr>
      </w:pPr>
      <w:r>
        <w:rPr>
          <w:rFonts w:hint="eastAsia" w:ascii="仿宋_GB2312" w:hAnsi="仿宋"/>
          <w:b/>
          <w:bCs/>
        </w:rPr>
        <w:t>2</w:t>
      </w:r>
      <w:r>
        <w:rPr>
          <w:rFonts w:hint="eastAsia" w:ascii="仿宋_GB2312"/>
          <w:b/>
          <w:bCs/>
        </w:rPr>
        <w:t>.加强法治队伍建设。</w:t>
      </w:r>
      <w:r>
        <w:rPr>
          <w:rFonts w:hint="eastAsia" w:ascii="仿宋_GB2312"/>
        </w:rPr>
        <w:t>大力加强民政领域法治队伍建设，为法治工作积累人力资源。强化民政法治机构职能，严格执行民政执法人员业务培训、持证上岗和资格管理制度，落实法治工作经费，加大基层执法设施和装备投入，加强法治队伍的法治思维教育培训，加快推进民政法治队伍专业化建设。</w:t>
      </w:r>
      <w:r>
        <w:rPr>
          <w:rFonts w:hint="eastAsia" w:ascii="仿宋_GB2312" w:hAnsi="仿宋_GB2312" w:cs="仿宋_GB2312"/>
          <w:color w:val="000000"/>
          <w:kern w:val="0"/>
          <w:szCs w:val="32"/>
        </w:rPr>
        <w:t>推进落实法律顾问制度</w:t>
      </w:r>
      <w:r>
        <w:rPr>
          <w:rFonts w:hint="eastAsia" w:ascii="仿宋_GB2312" w:hAnsi="仿宋"/>
          <w:szCs w:val="32"/>
        </w:rPr>
        <w:t>。</w:t>
      </w:r>
    </w:p>
    <w:p>
      <w:pPr>
        <w:ind w:firstLine="643"/>
        <w:rPr>
          <w:rFonts w:ascii="仿宋_GB2312" w:hAnsi="仿宋"/>
          <w:b/>
          <w:bCs/>
          <w:szCs w:val="32"/>
        </w:rPr>
      </w:pPr>
      <w:r>
        <w:rPr>
          <w:rFonts w:hint="eastAsia" w:ascii="仿宋_GB2312" w:hAnsi="仿宋"/>
          <w:b/>
          <w:bCs/>
          <w:szCs w:val="32"/>
        </w:rPr>
        <w:t>3</w:t>
      </w:r>
      <w:r>
        <w:rPr>
          <w:rFonts w:hint="eastAsia" w:ascii="仿宋_GB2312" w:hAnsi="仿宋" w:cs="仿宋_GB2312"/>
          <w:b/>
          <w:bCs/>
          <w:szCs w:val="32"/>
        </w:rPr>
        <w:t>.</w:t>
      </w:r>
      <w:r>
        <w:rPr>
          <w:rFonts w:hint="eastAsia" w:ascii="仿宋_GB2312" w:hAnsi="仿宋"/>
          <w:b/>
          <w:bCs/>
          <w:szCs w:val="32"/>
        </w:rPr>
        <w:t>加大法治宣传力度。</w:t>
      </w:r>
      <w:r>
        <w:rPr>
          <w:rFonts w:hint="eastAsia" w:ascii="仿宋_GB2312"/>
        </w:rPr>
        <w:t>依托“八五”普法规划，常态化开展“法律进社区”“以案释法”等法治宣传教育活动，树立一批行业典型及社会模范。利用国家安全日、慈善日、清明节、重阳节等涉及社会建设和民政领域的重要时间节点，严格落实“谁执法谁普法”责任制，组织举办以社会建设和民政业务相关的法律法规为主要内容的法治宣传活动，不断增强各部门的普法自觉性和积极性。充分发挥融媒体宣传作用，打造智慧普法平台，扩大法治宣传覆盖面。坚持开展指尖普法项目，依托相关平台，设置普法专栏，宣传贯彻民法典，制作民生领域系列普法微视频，扩大法治宣传的覆盖面和有效性。</w:t>
      </w:r>
    </w:p>
    <w:p>
      <w:pPr>
        <w:pStyle w:val="5"/>
        <w:ind w:firstLine="643"/>
        <w:rPr>
          <w:sz w:val="32"/>
        </w:rPr>
      </w:pPr>
      <w:bookmarkStart w:id="101" w:name="_Toc92172094"/>
      <w:r>
        <w:rPr>
          <w:rFonts w:hint="eastAsia"/>
          <w:sz w:val="32"/>
        </w:rPr>
        <w:t>（三）夯实民政基础设施建设</w:t>
      </w:r>
      <w:bookmarkEnd w:id="101"/>
    </w:p>
    <w:p>
      <w:pPr>
        <w:ind w:firstLine="643"/>
        <w:rPr>
          <w:rFonts w:ascii="仿宋_GB2312"/>
        </w:rPr>
      </w:pPr>
      <w:r>
        <w:rPr>
          <w:rFonts w:hint="eastAsia" w:ascii="仿宋_GB2312" w:hAnsi="仿宋"/>
          <w:b/>
          <w:bCs/>
          <w:szCs w:val="32"/>
        </w:rPr>
        <w:t>1</w:t>
      </w:r>
      <w:r>
        <w:rPr>
          <w:rFonts w:hint="eastAsia" w:ascii="仿宋_GB2312" w:hAnsi="仿宋" w:cs="仿宋_GB2312"/>
          <w:b/>
          <w:bCs/>
          <w:szCs w:val="32"/>
        </w:rPr>
        <w:t>.</w:t>
      </w:r>
      <w:r>
        <w:rPr>
          <w:rFonts w:hint="eastAsia" w:ascii="仿宋_GB2312" w:hAnsi="仿宋"/>
          <w:b/>
          <w:bCs/>
          <w:szCs w:val="32"/>
        </w:rPr>
        <w:t>持续完善民政基础设施建设的制度机制。</w:t>
      </w:r>
      <w:r>
        <w:rPr>
          <w:rFonts w:hint="eastAsia" w:ascii="仿宋_GB2312"/>
        </w:rPr>
        <w:t>完善协调调度机制，成立领导小组，推动民政基础设施重点项目推进落实，编制区级民政重点项目建设任务和年度建设目标及任务。建立工作台账，明确职责分工，落实责任主体，分析排查问题，及时整理上报项目进度情况。完善督查考核机制，推进基础设施建设情况专项跟踪评估工作。</w:t>
      </w:r>
    </w:p>
    <w:p>
      <w:pPr>
        <w:ind w:firstLine="643"/>
        <w:rPr>
          <w:rFonts w:ascii="仿宋_GB2312"/>
          <w:b/>
          <w:bCs/>
        </w:rPr>
      </w:pPr>
      <w:r>
        <w:rPr>
          <w:rFonts w:hint="eastAsia" w:ascii="仿宋_GB2312"/>
          <w:b/>
          <w:bCs/>
        </w:rPr>
        <w:t>2</w:t>
      </w:r>
      <w:r>
        <w:rPr>
          <w:rFonts w:hint="eastAsia" w:ascii="仿宋_GB2312" w:cs="仿宋_GB2312"/>
          <w:b/>
          <w:bCs/>
        </w:rPr>
        <w:t>.</w:t>
      </w:r>
      <w:r>
        <w:rPr>
          <w:rFonts w:hint="eastAsia" w:ascii="仿宋_GB2312"/>
          <w:b/>
          <w:bCs/>
        </w:rPr>
        <w:t>加快推进基本民生服务设施建设。</w:t>
      </w:r>
      <w:r>
        <w:rPr>
          <w:rFonts w:hint="eastAsia" w:ascii="仿宋_GB2312"/>
        </w:rPr>
        <w:t>坚持顶层设计，落实民政公共服务设施建设规划任务，补齐基本民生服务设施短板。到2025年，建成1所不少于100张床位的民政精神卫生社会福利机构，建成2处各不少于50张床位的智障人员社会福利机构。围绕整体优化、协同融合，统筹存量和增量、传统和新型基础设施发展，统筹完善养老服务、儿童福利、社会组织、社区服务、接济服务、救助管理、慈善捐赠、婚姻登记服务、社会心理服务等领域民生服务设施建设。加快信息基础设施建设，提高社会管理和公共服务的信息化水平。</w:t>
      </w:r>
    </w:p>
    <w:p>
      <w:pPr>
        <w:ind w:firstLine="643"/>
        <w:rPr>
          <w:rFonts w:ascii="仿宋_GB2312"/>
        </w:rPr>
      </w:pPr>
      <w:r>
        <w:rPr>
          <w:rFonts w:hint="eastAsia" w:ascii="仿宋_GB2312"/>
          <w:b/>
          <w:bCs/>
        </w:rPr>
        <w:t>3</w:t>
      </w:r>
      <w:r>
        <w:rPr>
          <w:rFonts w:hint="eastAsia" w:ascii="仿宋_GB2312" w:cs="仿宋_GB2312"/>
          <w:b/>
          <w:bCs/>
        </w:rPr>
        <w:t>.</w:t>
      </w:r>
      <w:r>
        <w:rPr>
          <w:rFonts w:hint="eastAsia" w:ascii="仿宋_GB2312"/>
          <w:b/>
          <w:bCs/>
        </w:rPr>
        <w:t>全力推进民政重点项目建设。</w:t>
      </w:r>
      <w:r>
        <w:rPr>
          <w:rFonts w:hint="eastAsia" w:ascii="仿宋_GB2312"/>
        </w:rPr>
        <w:t>完善民政兜底性服务设施，统筹规划、建设、完善精神卫生福利机构、儿童福利保护机构、流浪乞讨人员救助机构、社区管理服务用房、养老服务设施、殡葬设施等兜底性公共服务设施。推动基础设施建设点位落点落图，加快老旧小区配电设施改造内线工程，推进大兴区社会福利院的修缮，大兴区救助管理站和天堂公墓的改造提升，新建大兴区养老服务示范中心、区级精神障碍社区康复中心等项目。</w:t>
      </w:r>
    </w:p>
    <w:p>
      <w:pPr>
        <w:pStyle w:val="4"/>
        <w:ind w:firstLine="643"/>
      </w:pPr>
      <w:bookmarkStart w:id="102" w:name="_Toc76637576"/>
      <w:bookmarkStart w:id="103" w:name="_Toc51553176"/>
      <w:bookmarkStart w:id="104" w:name="_Toc92172095"/>
      <w:r>
        <w:rPr>
          <w:rFonts w:hint="eastAsia"/>
        </w:rPr>
        <w:t>五、建设精准高效的民政监管体系</w:t>
      </w:r>
      <w:bookmarkEnd w:id="102"/>
      <w:bookmarkEnd w:id="103"/>
      <w:bookmarkEnd w:id="104"/>
    </w:p>
    <w:p>
      <w:pPr>
        <w:pStyle w:val="5"/>
        <w:ind w:firstLine="643"/>
        <w:rPr>
          <w:sz w:val="32"/>
        </w:rPr>
      </w:pPr>
      <w:bookmarkStart w:id="105" w:name="_Toc92172096"/>
      <w:bookmarkStart w:id="106" w:name="_Toc76637577"/>
      <w:bookmarkStart w:id="107" w:name="_Toc51553177"/>
      <w:r>
        <w:rPr>
          <w:rFonts w:hint="eastAsia"/>
          <w:sz w:val="32"/>
        </w:rPr>
        <w:t>（一）健全监督管理制度</w:t>
      </w:r>
      <w:bookmarkEnd w:id="105"/>
    </w:p>
    <w:p>
      <w:pPr>
        <w:ind w:firstLine="640"/>
        <w:rPr>
          <w:rFonts w:ascii="仿宋" w:hAnsi="仿宋"/>
          <w:b/>
          <w:bCs/>
          <w:szCs w:val="32"/>
        </w:rPr>
      </w:pPr>
      <w:r>
        <w:rPr>
          <w:rFonts w:hint="eastAsia"/>
        </w:rPr>
        <w:t>持续深入开展社会救助专项治理为代表的民政领域监督管理工作。进一步健全并落实资金、项目、工程和购买服务的审计监管制度。建立社会救助经办人员、城乡社区工作人员的近亲属享受社会救助的备案制度，加强廉政风险教育，通过警示教育大会等方式加强对民政工作队伍的监管。加强救助、救济、保障对象及承接政府购买服务社会组织的诚信教育，推动建立违规资金追缴和失信人员联合惩戒机制。健全公众参与监督的激励机制，主动接受社会和群众的监督。</w:t>
      </w:r>
      <w:r>
        <w:rPr>
          <w:rFonts w:hint="eastAsia" w:ascii="仿宋" w:hAnsi="仿宋"/>
          <w:szCs w:val="32"/>
        </w:rPr>
        <w:t>落实人大代表、政协委员、服务对象、行业组织、第三方机构全方位参与民政各领域监督管理工作。持续推进政务公开，健全完善覆盖民政领域主动公开清单，建设阳光透明民政。</w:t>
      </w:r>
      <w:bookmarkEnd w:id="106"/>
      <w:bookmarkEnd w:id="107"/>
    </w:p>
    <w:p>
      <w:pPr>
        <w:pStyle w:val="5"/>
        <w:ind w:firstLine="643"/>
        <w:rPr>
          <w:rFonts w:ascii="仿宋" w:hAnsi="仿宋"/>
          <w:sz w:val="32"/>
        </w:rPr>
      </w:pPr>
      <w:bookmarkStart w:id="108" w:name="_Toc92172097"/>
      <w:r>
        <w:rPr>
          <w:rFonts w:hint="eastAsia"/>
          <w:sz w:val="32"/>
        </w:rPr>
        <w:t>（二）强化安全责任落实</w:t>
      </w:r>
      <w:bookmarkEnd w:id="108"/>
    </w:p>
    <w:p>
      <w:pPr>
        <w:ind w:firstLine="640"/>
      </w:pPr>
      <w:r>
        <w:rPr>
          <w:rFonts w:hint="eastAsia"/>
        </w:rPr>
        <w:t>打破把民政安全局限于生产安全、责任事故的传统观念，以政治、决策、干部、资金、项目、信息、业务领域为重点，健全完善民政大安全格局。按照全覆盖无死角的要求，编制出台民政各领域监管责任清单，明确监管内容。贯彻落实《北京市党政领导干部安全生产责任制实施细则》，健全完善“党政同责、一岗双责、齐抓共管、失职追责”的安全管理体制。树牢底线思维和责任意识，完善全业务口径的风险隐患排查整改制度。对养老、儿童、接济救助机构等社会福利机构定期开展大排查大整治，对风险隐患全面实施挂牌督办、分类整改、限时完成制度，将安全责任落实到岗位、落实到部门。扎实推进安全生产专项整治三年行动计划。</w:t>
      </w:r>
    </w:p>
    <w:p>
      <w:pPr>
        <w:pStyle w:val="5"/>
        <w:ind w:firstLine="643"/>
        <w:rPr>
          <w:sz w:val="32"/>
        </w:rPr>
      </w:pPr>
      <w:bookmarkStart w:id="109" w:name="_Toc51553179"/>
      <w:bookmarkStart w:id="110" w:name="_Toc76637579"/>
      <w:bookmarkStart w:id="111" w:name="_Toc92172098"/>
      <w:r>
        <w:rPr>
          <w:rFonts w:hint="eastAsia"/>
          <w:sz w:val="32"/>
        </w:rPr>
        <w:t>（三）</w:t>
      </w:r>
      <w:bookmarkEnd w:id="109"/>
      <w:r>
        <w:rPr>
          <w:rFonts w:hint="eastAsia"/>
          <w:sz w:val="32"/>
        </w:rPr>
        <w:t>创新丰富监管形式</w:t>
      </w:r>
      <w:bookmarkEnd w:id="110"/>
      <w:bookmarkEnd w:id="111"/>
    </w:p>
    <w:p>
      <w:pPr>
        <w:ind w:firstLine="640"/>
        <w:rPr>
          <w:rFonts w:ascii="仿宋_GB2312"/>
        </w:rPr>
      </w:pPr>
      <w:r>
        <w:rPr>
          <w:rFonts w:hint="eastAsia" w:ascii="仿宋_GB2312"/>
        </w:rPr>
        <w:t>构建落实信息化监管、信用监管、第三方监管、政务公开等紧密结合的新型监管体系。</w:t>
      </w:r>
      <w:r>
        <w:rPr>
          <w:rFonts w:hint="eastAsia" w:ascii="仿宋_GB2312"/>
          <w:b/>
          <w:bCs/>
        </w:rPr>
        <w:t>加强信息化监管，</w:t>
      </w:r>
      <w:r>
        <w:rPr>
          <w:rFonts w:hint="eastAsia" w:ascii="仿宋_GB2312"/>
        </w:rPr>
        <w:t>依托“智慧民政”平台信息化项目建设，开展民政大数据的深度分析和利用，实现对民政业务监测、预警和政策分析。</w:t>
      </w:r>
      <w:r>
        <w:rPr>
          <w:rFonts w:hint="eastAsia" w:ascii="仿宋_GB2312"/>
          <w:b/>
          <w:bCs/>
        </w:rPr>
        <w:t>健全信用监管，</w:t>
      </w:r>
      <w:r>
        <w:rPr>
          <w:rFonts w:hint="eastAsia" w:ascii="仿宋_GB2312"/>
        </w:rPr>
        <w:t>综合利用“互联网+监管”等科技手段，构建以信用为基础的新型监管模式。加快完善老年人、低保对象、救助对象、社会组织负责人、民政服务机构负责人等个人信用信息档案和数据库，完善养老服务机构、儿童福利机构、社会组织、社工机构、殡葬服务机构等法人信息库，推动将其纳入全市信用信息管理平台。完善守信激励与失信惩戒机制。</w:t>
      </w:r>
      <w:r>
        <w:rPr>
          <w:rFonts w:hint="eastAsia" w:ascii="仿宋_GB2312"/>
          <w:b/>
          <w:bCs/>
        </w:rPr>
        <w:t>加强改进行政监督，</w:t>
      </w:r>
      <w:r>
        <w:rPr>
          <w:rFonts w:hint="eastAsia" w:ascii="仿宋_GB2312"/>
        </w:rPr>
        <w:t>加强对执法信息服务系统平台的监督，建立每月通报制度。全面梳理职权文件，并在北京市行政执法信息服务系统平台、大兴区政府官网等相关平台予以公示，接受社会监督。</w:t>
      </w:r>
    </w:p>
    <w:p>
      <w:pPr>
        <w:pStyle w:val="16"/>
        <w:rPr>
          <w:sz w:val="36"/>
          <w:szCs w:val="36"/>
        </w:rPr>
      </w:pPr>
      <w:bookmarkStart w:id="112" w:name="_Toc51553193"/>
      <w:bookmarkStart w:id="113" w:name="_Toc76637591"/>
      <w:bookmarkStart w:id="114" w:name="_Toc92172099"/>
      <w:r>
        <w:rPr>
          <w:rFonts w:hint="eastAsia"/>
          <w:sz w:val="36"/>
          <w:szCs w:val="36"/>
        </w:rPr>
        <w:t>第四部分</w:t>
      </w:r>
      <w:r>
        <w:rPr>
          <w:sz w:val="36"/>
          <w:szCs w:val="36"/>
        </w:rPr>
        <w:t xml:space="preserve"> </w:t>
      </w:r>
      <w:r>
        <w:rPr>
          <w:rFonts w:hint="eastAsia"/>
          <w:sz w:val="36"/>
          <w:szCs w:val="36"/>
        </w:rPr>
        <w:t>保障措施</w:t>
      </w:r>
      <w:bookmarkEnd w:id="112"/>
      <w:bookmarkEnd w:id="113"/>
      <w:bookmarkEnd w:id="114"/>
    </w:p>
    <w:p>
      <w:pPr>
        <w:pStyle w:val="4"/>
        <w:ind w:firstLine="643"/>
      </w:pPr>
      <w:bookmarkStart w:id="115" w:name="_Toc51553194"/>
      <w:bookmarkStart w:id="116" w:name="_Toc76637592"/>
      <w:bookmarkStart w:id="117" w:name="_Toc92172100"/>
      <w:r>
        <w:rPr>
          <w:rFonts w:hint="eastAsia"/>
        </w:rPr>
        <w:t>一、</w:t>
      </w:r>
      <w:bookmarkEnd w:id="115"/>
      <w:bookmarkEnd w:id="116"/>
      <w:r>
        <w:rPr>
          <w:rFonts w:hint="eastAsia"/>
        </w:rPr>
        <w:t>统筹规划组织实施</w:t>
      </w:r>
      <w:bookmarkEnd w:id="117"/>
    </w:p>
    <w:p>
      <w:pPr>
        <w:ind w:firstLine="640"/>
      </w:pPr>
      <w:r>
        <w:rPr>
          <w:rFonts w:hint="eastAsia"/>
        </w:rPr>
        <w:t>成立由区民政局主要领导牵头的“十四五”规划统筹推进领导小组，健全工作协调机制，切实加强对规划实施工作的组织领导、指挥协调和监督检查工作，确保规划整体推进、有序落实。加强市、区两级协调对接，及时掌握全局情况和本系统工作进展，提升统筹协调的大局观、前瞻性。组织各相关单位依据本规划，制定年度工作计划，形成任务清单，明确工作责任。突出党建引领，形成政府主导有力、部门协作高效的组织领导格局。各部门、各单位要切实提高政治站位，增强责任感和紧迫感，锐意进取、埋头苦干，主要负责同志负总责，分管负责同志具体抓，早动员、早部署、早行动，扎实推进各项工作。</w:t>
      </w:r>
    </w:p>
    <w:p>
      <w:pPr>
        <w:pStyle w:val="4"/>
        <w:ind w:firstLine="643"/>
      </w:pPr>
      <w:bookmarkStart w:id="118" w:name="_Toc51553196"/>
      <w:bookmarkStart w:id="119" w:name="_Toc76637594"/>
      <w:bookmarkStart w:id="120" w:name="_Toc92172101"/>
      <w:r>
        <w:rPr>
          <w:rFonts w:hint="eastAsia"/>
        </w:rPr>
        <w:t>二、完善多渠道筹资机制</w:t>
      </w:r>
      <w:bookmarkEnd w:id="118"/>
      <w:bookmarkEnd w:id="119"/>
      <w:bookmarkEnd w:id="120"/>
    </w:p>
    <w:p>
      <w:pPr>
        <w:ind w:firstLine="640"/>
      </w:pPr>
      <w:r>
        <w:rPr>
          <w:rFonts w:hint="eastAsia"/>
        </w:rPr>
        <w:t>落实过紧日子的要求，精打细算，聚焦重点。优化各级财政对民政事业的投入的结构和方式，提高财政资源配置效率，保障民政事业的资金投入。创新多渠道、多形式的民政工作经费投入和使用机制，拓展资金来源，提高资金使用效益。发挥财政资金的引导作用，吸纳撬动社会资本投入民政领域，形成多渠道、多形式、多层次的筹资机制。加强政府购买服务力度，采用专业化项目运作模式，对资金使用情况全程评估、监督和管理，提高资金使用效能，确保资金使用安全。</w:t>
      </w:r>
    </w:p>
    <w:p>
      <w:pPr>
        <w:pStyle w:val="4"/>
        <w:ind w:firstLine="643"/>
      </w:pPr>
      <w:bookmarkStart w:id="121" w:name="_Toc92172102"/>
      <w:bookmarkStart w:id="122" w:name="_Toc76637595"/>
      <w:bookmarkStart w:id="123" w:name="_Toc51553197"/>
      <w:r>
        <w:rPr>
          <w:rFonts w:hint="eastAsia"/>
        </w:rPr>
        <w:t>三、推动多方力量参与</w:t>
      </w:r>
      <w:bookmarkEnd w:id="121"/>
      <w:bookmarkEnd w:id="122"/>
      <w:bookmarkEnd w:id="123"/>
      <w:r>
        <w:t xml:space="preserve">  </w:t>
      </w:r>
    </w:p>
    <w:p>
      <w:pPr>
        <w:ind w:firstLine="640"/>
      </w:pPr>
      <w:r>
        <w:rPr>
          <w:rFonts w:hint="eastAsia"/>
        </w:rPr>
        <w:t>充分利用新媒体平台、可视化设计等方式，加强规划宣传解读，提高全民共建共治共享参与意识，实现民政政策宣传入户、入村、入社区，确保困难群众及时了解相关惠民政策内容和申请渠道。跟踪报道重大改革、重点项目、重要实事进展情况，汇聚推动民政事业发展的正能量。注重人才队伍建设，加大典型发掘和宣传工作力度，完善人才激励机制，为规划高质量落地实施提供有力的人才支撑，提升镇（街）民政工作相关人员的政策掌握和执行水平。</w:t>
      </w:r>
    </w:p>
    <w:p>
      <w:pPr>
        <w:pStyle w:val="4"/>
        <w:ind w:firstLine="643"/>
      </w:pPr>
      <w:bookmarkStart w:id="124" w:name="_Toc92172103"/>
      <w:bookmarkStart w:id="125" w:name="_Toc51553198"/>
      <w:bookmarkStart w:id="126" w:name="_Toc76637596"/>
      <w:r>
        <w:rPr>
          <w:rFonts w:hint="eastAsia"/>
        </w:rPr>
        <w:t>四、注重规划协同发展</w:t>
      </w:r>
      <w:bookmarkEnd w:id="124"/>
      <w:bookmarkEnd w:id="125"/>
      <w:bookmarkEnd w:id="126"/>
      <w:r>
        <w:t xml:space="preserve">   </w:t>
      </w:r>
    </w:p>
    <w:p>
      <w:pPr>
        <w:ind w:firstLine="640"/>
      </w:pPr>
      <w:r>
        <w:rPr>
          <w:rFonts w:hint="eastAsia"/>
        </w:rPr>
        <w:t>注重规划推进过程中的协同配合，提高整体运作效率。各相关部门强化分工协作，实现社会建设与民政事业“一盘棋”格局。民政部门发挥牵头单位职责，以本次规划为契机，协同与规划、土地、财政等区级各部门之间的沟通协调，优化监管审批流程，为项目落地创造便利条件。</w:t>
      </w:r>
    </w:p>
    <w:p>
      <w:pPr>
        <w:pStyle w:val="4"/>
        <w:ind w:firstLine="643"/>
      </w:pPr>
      <w:bookmarkStart w:id="127" w:name="_Toc51553199"/>
      <w:bookmarkStart w:id="128" w:name="_Toc76637597"/>
      <w:bookmarkStart w:id="129" w:name="_Toc92172104"/>
      <w:r>
        <w:rPr>
          <w:rFonts w:hint="eastAsia"/>
        </w:rPr>
        <w:t>五、</w:t>
      </w:r>
      <w:bookmarkEnd w:id="127"/>
      <w:bookmarkEnd w:id="128"/>
      <w:r>
        <w:rPr>
          <w:rFonts w:hint="eastAsia"/>
        </w:rPr>
        <w:t>强化评估考核</w:t>
      </w:r>
      <w:bookmarkEnd w:id="129"/>
    </w:p>
    <w:p>
      <w:pPr>
        <w:ind w:firstLine="640"/>
      </w:pPr>
      <w:r>
        <w:rPr>
          <w:rFonts w:hint="eastAsia"/>
        </w:rPr>
        <w:t>科学制订各年度民政工作计划，把年度工作安排作为推进规划实施的支撑。完善检查督导机制，跟踪检查指导、分析掌握规划实施进展情况。建立实施动态评估制度。规划实施过程中，如遇特殊情况，可结合市委市政府、区委区政府最新决策精神，研究规划调整方案并按规定程序报批。各部门、各单位要加大协调力度，加强运行调度，做好分析研判，强化过程管理，准确掌握进展情况，及时协调解决工作推进过程中遇到的困难和问题，确保各项任务刚性落实。</w:t>
      </w:r>
    </w:p>
    <w:p>
      <w:pPr>
        <w:ind w:firstLine="0" w:firstLineChars="0"/>
        <w:rPr>
          <w:rFonts w:ascii="仿宋" w:hAnsi="仿宋"/>
          <w:szCs w:val="32"/>
        </w:rPr>
      </w:pP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t>1</w:t>
    </w:r>
    <w:r>
      <w:rPr>
        <w:rFonts w:ascii="宋体" w:hAnsi="宋体" w:eastAsia="宋体"/>
        <w:sz w:val="21"/>
        <w:szCs w:val="21"/>
      </w:rPr>
      <w:fldChar w:fldCharType="end"/>
    </w:r>
  </w:p>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r>
      <w:rPr>
        <w:sz w:val="18"/>
      </w:rPr>
      <w:pict>
        <v:shape id="PowerPlusWaterMarkObject34860" o:spid="_x0000_s3073"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6CF2124"/>
    <w:rsid w:val="000009AE"/>
    <w:rsid w:val="00002741"/>
    <w:rsid w:val="0000378E"/>
    <w:rsid w:val="000038CE"/>
    <w:rsid w:val="0000404F"/>
    <w:rsid w:val="00005227"/>
    <w:rsid w:val="000059DC"/>
    <w:rsid w:val="0000624A"/>
    <w:rsid w:val="0000640A"/>
    <w:rsid w:val="000071AE"/>
    <w:rsid w:val="00007AFF"/>
    <w:rsid w:val="0001048D"/>
    <w:rsid w:val="00010C39"/>
    <w:rsid w:val="000116EE"/>
    <w:rsid w:val="00012E8B"/>
    <w:rsid w:val="0001355A"/>
    <w:rsid w:val="00015438"/>
    <w:rsid w:val="000155DA"/>
    <w:rsid w:val="000162B4"/>
    <w:rsid w:val="000165C0"/>
    <w:rsid w:val="00016D0F"/>
    <w:rsid w:val="00017808"/>
    <w:rsid w:val="0001783C"/>
    <w:rsid w:val="00020026"/>
    <w:rsid w:val="000223E1"/>
    <w:rsid w:val="00023A39"/>
    <w:rsid w:val="00023D1C"/>
    <w:rsid w:val="00025185"/>
    <w:rsid w:val="000258B2"/>
    <w:rsid w:val="0003051A"/>
    <w:rsid w:val="00030B3B"/>
    <w:rsid w:val="00032276"/>
    <w:rsid w:val="00032C66"/>
    <w:rsid w:val="00033199"/>
    <w:rsid w:val="00033619"/>
    <w:rsid w:val="00035169"/>
    <w:rsid w:val="00035660"/>
    <w:rsid w:val="000373CD"/>
    <w:rsid w:val="00040130"/>
    <w:rsid w:val="000401D2"/>
    <w:rsid w:val="00040921"/>
    <w:rsid w:val="00042309"/>
    <w:rsid w:val="00043D5A"/>
    <w:rsid w:val="000451AF"/>
    <w:rsid w:val="000466C4"/>
    <w:rsid w:val="000475F5"/>
    <w:rsid w:val="00047A96"/>
    <w:rsid w:val="0005215B"/>
    <w:rsid w:val="00052A41"/>
    <w:rsid w:val="00053FC7"/>
    <w:rsid w:val="0005674E"/>
    <w:rsid w:val="000603A8"/>
    <w:rsid w:val="000607DB"/>
    <w:rsid w:val="000614E9"/>
    <w:rsid w:val="00061D2C"/>
    <w:rsid w:val="000638AC"/>
    <w:rsid w:val="00063E8D"/>
    <w:rsid w:val="00064DF4"/>
    <w:rsid w:val="000659D6"/>
    <w:rsid w:val="00066095"/>
    <w:rsid w:val="00067AF7"/>
    <w:rsid w:val="00067B48"/>
    <w:rsid w:val="00070845"/>
    <w:rsid w:val="00070899"/>
    <w:rsid w:val="00073099"/>
    <w:rsid w:val="00074CA7"/>
    <w:rsid w:val="00075E06"/>
    <w:rsid w:val="00076F2C"/>
    <w:rsid w:val="00077843"/>
    <w:rsid w:val="00080215"/>
    <w:rsid w:val="000814D3"/>
    <w:rsid w:val="0008224D"/>
    <w:rsid w:val="00084B5E"/>
    <w:rsid w:val="00085506"/>
    <w:rsid w:val="000857BF"/>
    <w:rsid w:val="00090975"/>
    <w:rsid w:val="0009425A"/>
    <w:rsid w:val="000970B4"/>
    <w:rsid w:val="0009744B"/>
    <w:rsid w:val="000A02C2"/>
    <w:rsid w:val="000A15FC"/>
    <w:rsid w:val="000A1637"/>
    <w:rsid w:val="000A1F5E"/>
    <w:rsid w:val="000A237B"/>
    <w:rsid w:val="000A33D3"/>
    <w:rsid w:val="000A3694"/>
    <w:rsid w:val="000A3F00"/>
    <w:rsid w:val="000A4077"/>
    <w:rsid w:val="000A5023"/>
    <w:rsid w:val="000A5B52"/>
    <w:rsid w:val="000A606D"/>
    <w:rsid w:val="000B22E6"/>
    <w:rsid w:val="000B4849"/>
    <w:rsid w:val="000B4AC4"/>
    <w:rsid w:val="000B5482"/>
    <w:rsid w:val="000B6317"/>
    <w:rsid w:val="000B63E3"/>
    <w:rsid w:val="000B656C"/>
    <w:rsid w:val="000B7DB0"/>
    <w:rsid w:val="000C0168"/>
    <w:rsid w:val="000C1154"/>
    <w:rsid w:val="000C2557"/>
    <w:rsid w:val="000C288D"/>
    <w:rsid w:val="000C2952"/>
    <w:rsid w:val="000C4053"/>
    <w:rsid w:val="000C49AF"/>
    <w:rsid w:val="000C5AB6"/>
    <w:rsid w:val="000D1DF1"/>
    <w:rsid w:val="000D3610"/>
    <w:rsid w:val="000D39B8"/>
    <w:rsid w:val="000D4DCB"/>
    <w:rsid w:val="000D5868"/>
    <w:rsid w:val="000D7C20"/>
    <w:rsid w:val="000D7D2A"/>
    <w:rsid w:val="000E1A9E"/>
    <w:rsid w:val="000E3917"/>
    <w:rsid w:val="000E39FE"/>
    <w:rsid w:val="000E3B19"/>
    <w:rsid w:val="000E3D62"/>
    <w:rsid w:val="000E5675"/>
    <w:rsid w:val="000F0C3A"/>
    <w:rsid w:val="000F132A"/>
    <w:rsid w:val="000F19A4"/>
    <w:rsid w:val="000F2CEC"/>
    <w:rsid w:val="000F3B4B"/>
    <w:rsid w:val="000F404C"/>
    <w:rsid w:val="000F41E7"/>
    <w:rsid w:val="000F53BF"/>
    <w:rsid w:val="000F5DBF"/>
    <w:rsid w:val="000F67F6"/>
    <w:rsid w:val="000F6C9A"/>
    <w:rsid w:val="000F7315"/>
    <w:rsid w:val="001023BA"/>
    <w:rsid w:val="00102A74"/>
    <w:rsid w:val="00104088"/>
    <w:rsid w:val="00104A01"/>
    <w:rsid w:val="001065DF"/>
    <w:rsid w:val="00106822"/>
    <w:rsid w:val="00106E17"/>
    <w:rsid w:val="00110724"/>
    <w:rsid w:val="0011091B"/>
    <w:rsid w:val="0011190E"/>
    <w:rsid w:val="00111CA9"/>
    <w:rsid w:val="00112D2A"/>
    <w:rsid w:val="00117E00"/>
    <w:rsid w:val="00117FCB"/>
    <w:rsid w:val="00120E6D"/>
    <w:rsid w:val="00121511"/>
    <w:rsid w:val="00122583"/>
    <w:rsid w:val="00122755"/>
    <w:rsid w:val="001232D4"/>
    <w:rsid w:val="001252A1"/>
    <w:rsid w:val="0012612C"/>
    <w:rsid w:val="0012645D"/>
    <w:rsid w:val="00126E5E"/>
    <w:rsid w:val="001303CB"/>
    <w:rsid w:val="00130438"/>
    <w:rsid w:val="00130D4A"/>
    <w:rsid w:val="00132A05"/>
    <w:rsid w:val="00132D5D"/>
    <w:rsid w:val="00133E4C"/>
    <w:rsid w:val="00134620"/>
    <w:rsid w:val="00134E45"/>
    <w:rsid w:val="0013798C"/>
    <w:rsid w:val="00141A46"/>
    <w:rsid w:val="001424A2"/>
    <w:rsid w:val="001433CC"/>
    <w:rsid w:val="00145FEA"/>
    <w:rsid w:val="001469F5"/>
    <w:rsid w:val="00151235"/>
    <w:rsid w:val="001524CF"/>
    <w:rsid w:val="00152790"/>
    <w:rsid w:val="001537C3"/>
    <w:rsid w:val="00154C09"/>
    <w:rsid w:val="001558A5"/>
    <w:rsid w:val="00157862"/>
    <w:rsid w:val="001616B0"/>
    <w:rsid w:val="00162B61"/>
    <w:rsid w:val="00163309"/>
    <w:rsid w:val="00163469"/>
    <w:rsid w:val="001634BC"/>
    <w:rsid w:val="001645EC"/>
    <w:rsid w:val="00164AD2"/>
    <w:rsid w:val="00165040"/>
    <w:rsid w:val="001660CA"/>
    <w:rsid w:val="001676B8"/>
    <w:rsid w:val="0017002B"/>
    <w:rsid w:val="00172465"/>
    <w:rsid w:val="001744A9"/>
    <w:rsid w:val="00175816"/>
    <w:rsid w:val="001766B3"/>
    <w:rsid w:val="0017670F"/>
    <w:rsid w:val="00177CAB"/>
    <w:rsid w:val="001827B3"/>
    <w:rsid w:val="00182F15"/>
    <w:rsid w:val="001839FC"/>
    <w:rsid w:val="00184EA0"/>
    <w:rsid w:val="00186042"/>
    <w:rsid w:val="001861C8"/>
    <w:rsid w:val="00186321"/>
    <w:rsid w:val="001869A6"/>
    <w:rsid w:val="001875D5"/>
    <w:rsid w:val="001904B2"/>
    <w:rsid w:val="0019201B"/>
    <w:rsid w:val="001921E8"/>
    <w:rsid w:val="00192488"/>
    <w:rsid w:val="00193EDC"/>
    <w:rsid w:val="00194D73"/>
    <w:rsid w:val="0019558C"/>
    <w:rsid w:val="001970BE"/>
    <w:rsid w:val="001A1205"/>
    <w:rsid w:val="001A3F56"/>
    <w:rsid w:val="001A51AC"/>
    <w:rsid w:val="001A5272"/>
    <w:rsid w:val="001A55F3"/>
    <w:rsid w:val="001A7457"/>
    <w:rsid w:val="001A7614"/>
    <w:rsid w:val="001B109C"/>
    <w:rsid w:val="001B1A2C"/>
    <w:rsid w:val="001B2A9A"/>
    <w:rsid w:val="001B3FD9"/>
    <w:rsid w:val="001B434E"/>
    <w:rsid w:val="001B4874"/>
    <w:rsid w:val="001B5617"/>
    <w:rsid w:val="001B605F"/>
    <w:rsid w:val="001B771F"/>
    <w:rsid w:val="001C107D"/>
    <w:rsid w:val="001C1EFD"/>
    <w:rsid w:val="001C2E6C"/>
    <w:rsid w:val="001C319A"/>
    <w:rsid w:val="001C3BB6"/>
    <w:rsid w:val="001C6657"/>
    <w:rsid w:val="001C7913"/>
    <w:rsid w:val="001D2A55"/>
    <w:rsid w:val="001D48F7"/>
    <w:rsid w:val="001D4A77"/>
    <w:rsid w:val="001D4C4F"/>
    <w:rsid w:val="001D664C"/>
    <w:rsid w:val="001D6831"/>
    <w:rsid w:val="001D70F0"/>
    <w:rsid w:val="001E1311"/>
    <w:rsid w:val="001E1BE3"/>
    <w:rsid w:val="001E1DF0"/>
    <w:rsid w:val="001E2CBE"/>
    <w:rsid w:val="001E3383"/>
    <w:rsid w:val="001E4C58"/>
    <w:rsid w:val="001E4F70"/>
    <w:rsid w:val="001E5052"/>
    <w:rsid w:val="001F0292"/>
    <w:rsid w:val="001F1503"/>
    <w:rsid w:val="001F1620"/>
    <w:rsid w:val="001F2EE6"/>
    <w:rsid w:val="001F4A37"/>
    <w:rsid w:val="001F5DF8"/>
    <w:rsid w:val="001F61CC"/>
    <w:rsid w:val="001F6754"/>
    <w:rsid w:val="001F79C2"/>
    <w:rsid w:val="001F7B6C"/>
    <w:rsid w:val="002004A6"/>
    <w:rsid w:val="00200CC0"/>
    <w:rsid w:val="00201D56"/>
    <w:rsid w:val="00202DB7"/>
    <w:rsid w:val="00203047"/>
    <w:rsid w:val="00205D03"/>
    <w:rsid w:val="002060E5"/>
    <w:rsid w:val="0020762C"/>
    <w:rsid w:val="00207E08"/>
    <w:rsid w:val="00207EAB"/>
    <w:rsid w:val="002109DA"/>
    <w:rsid w:val="002134B5"/>
    <w:rsid w:val="00213AC6"/>
    <w:rsid w:val="0021500A"/>
    <w:rsid w:val="00215E60"/>
    <w:rsid w:val="00215F15"/>
    <w:rsid w:val="00216FCA"/>
    <w:rsid w:val="00217420"/>
    <w:rsid w:val="00217AE5"/>
    <w:rsid w:val="00221732"/>
    <w:rsid w:val="00222EAD"/>
    <w:rsid w:val="00224615"/>
    <w:rsid w:val="00224D0C"/>
    <w:rsid w:val="00225ACF"/>
    <w:rsid w:val="0022640F"/>
    <w:rsid w:val="0023027C"/>
    <w:rsid w:val="0023083A"/>
    <w:rsid w:val="002310DA"/>
    <w:rsid w:val="002316B9"/>
    <w:rsid w:val="00232F31"/>
    <w:rsid w:val="00234166"/>
    <w:rsid w:val="002368D1"/>
    <w:rsid w:val="002368F1"/>
    <w:rsid w:val="0023776B"/>
    <w:rsid w:val="00237E22"/>
    <w:rsid w:val="00240382"/>
    <w:rsid w:val="00240979"/>
    <w:rsid w:val="00240B91"/>
    <w:rsid w:val="00241DE8"/>
    <w:rsid w:val="00243B37"/>
    <w:rsid w:val="002440B9"/>
    <w:rsid w:val="0024582B"/>
    <w:rsid w:val="00245A61"/>
    <w:rsid w:val="00246753"/>
    <w:rsid w:val="00250A9A"/>
    <w:rsid w:val="002513DB"/>
    <w:rsid w:val="00252820"/>
    <w:rsid w:val="00252975"/>
    <w:rsid w:val="0025314A"/>
    <w:rsid w:val="002539F2"/>
    <w:rsid w:val="00253B68"/>
    <w:rsid w:val="0025618D"/>
    <w:rsid w:val="00257439"/>
    <w:rsid w:val="00260705"/>
    <w:rsid w:val="0026091F"/>
    <w:rsid w:val="00260CD1"/>
    <w:rsid w:val="002619DF"/>
    <w:rsid w:val="00261A85"/>
    <w:rsid w:val="00261E0A"/>
    <w:rsid w:val="002639EE"/>
    <w:rsid w:val="00263B8F"/>
    <w:rsid w:val="00263F13"/>
    <w:rsid w:val="00264297"/>
    <w:rsid w:val="0026493F"/>
    <w:rsid w:val="00265051"/>
    <w:rsid w:val="002654B8"/>
    <w:rsid w:val="00265B06"/>
    <w:rsid w:val="002726FF"/>
    <w:rsid w:val="00273083"/>
    <w:rsid w:val="00273DB1"/>
    <w:rsid w:val="00280646"/>
    <w:rsid w:val="002810B8"/>
    <w:rsid w:val="00281C6B"/>
    <w:rsid w:val="0028340B"/>
    <w:rsid w:val="002836F2"/>
    <w:rsid w:val="00284E17"/>
    <w:rsid w:val="0028561E"/>
    <w:rsid w:val="00290EFB"/>
    <w:rsid w:val="00290F7B"/>
    <w:rsid w:val="00292470"/>
    <w:rsid w:val="00292A48"/>
    <w:rsid w:val="002939F8"/>
    <w:rsid w:val="00293A38"/>
    <w:rsid w:val="00294F18"/>
    <w:rsid w:val="0029510E"/>
    <w:rsid w:val="002977B0"/>
    <w:rsid w:val="00297E07"/>
    <w:rsid w:val="002A0060"/>
    <w:rsid w:val="002A0442"/>
    <w:rsid w:val="002A06A3"/>
    <w:rsid w:val="002A11CD"/>
    <w:rsid w:val="002A2110"/>
    <w:rsid w:val="002A25CF"/>
    <w:rsid w:val="002A28AC"/>
    <w:rsid w:val="002A453F"/>
    <w:rsid w:val="002A4822"/>
    <w:rsid w:val="002A5A4B"/>
    <w:rsid w:val="002A62C1"/>
    <w:rsid w:val="002A7240"/>
    <w:rsid w:val="002B0D2A"/>
    <w:rsid w:val="002B2018"/>
    <w:rsid w:val="002B4E38"/>
    <w:rsid w:val="002B57FA"/>
    <w:rsid w:val="002B5A04"/>
    <w:rsid w:val="002B5B30"/>
    <w:rsid w:val="002B76A3"/>
    <w:rsid w:val="002C2345"/>
    <w:rsid w:val="002C299A"/>
    <w:rsid w:val="002C586E"/>
    <w:rsid w:val="002C6C1F"/>
    <w:rsid w:val="002D002B"/>
    <w:rsid w:val="002D0A04"/>
    <w:rsid w:val="002D0B3D"/>
    <w:rsid w:val="002D11AA"/>
    <w:rsid w:val="002D1E34"/>
    <w:rsid w:val="002D1E6D"/>
    <w:rsid w:val="002D32FA"/>
    <w:rsid w:val="002D4099"/>
    <w:rsid w:val="002D4412"/>
    <w:rsid w:val="002D5E5A"/>
    <w:rsid w:val="002E28D4"/>
    <w:rsid w:val="002E2D52"/>
    <w:rsid w:val="002E3A1A"/>
    <w:rsid w:val="002E3EB1"/>
    <w:rsid w:val="002E62CE"/>
    <w:rsid w:val="002E6766"/>
    <w:rsid w:val="002F0690"/>
    <w:rsid w:val="002F2181"/>
    <w:rsid w:val="002F4FE3"/>
    <w:rsid w:val="002F5643"/>
    <w:rsid w:val="002F6D56"/>
    <w:rsid w:val="002F7C20"/>
    <w:rsid w:val="002F7E2E"/>
    <w:rsid w:val="00300285"/>
    <w:rsid w:val="00302100"/>
    <w:rsid w:val="00302894"/>
    <w:rsid w:val="00305458"/>
    <w:rsid w:val="003056BE"/>
    <w:rsid w:val="00305B1D"/>
    <w:rsid w:val="00306DD0"/>
    <w:rsid w:val="003075A2"/>
    <w:rsid w:val="003076F2"/>
    <w:rsid w:val="00307BC4"/>
    <w:rsid w:val="003100E5"/>
    <w:rsid w:val="003105B2"/>
    <w:rsid w:val="00311289"/>
    <w:rsid w:val="00311DC5"/>
    <w:rsid w:val="003122A7"/>
    <w:rsid w:val="00313DD2"/>
    <w:rsid w:val="003146AA"/>
    <w:rsid w:val="0031550B"/>
    <w:rsid w:val="00316284"/>
    <w:rsid w:val="003202F5"/>
    <w:rsid w:val="003206EA"/>
    <w:rsid w:val="00321F81"/>
    <w:rsid w:val="003220E2"/>
    <w:rsid w:val="003225EA"/>
    <w:rsid w:val="00322ABD"/>
    <w:rsid w:val="0032319F"/>
    <w:rsid w:val="00323684"/>
    <w:rsid w:val="003259A8"/>
    <w:rsid w:val="00326ACE"/>
    <w:rsid w:val="00326D0F"/>
    <w:rsid w:val="00327E4C"/>
    <w:rsid w:val="003318A5"/>
    <w:rsid w:val="00331DD7"/>
    <w:rsid w:val="0033323A"/>
    <w:rsid w:val="003337E1"/>
    <w:rsid w:val="00335638"/>
    <w:rsid w:val="003368EB"/>
    <w:rsid w:val="00337617"/>
    <w:rsid w:val="00337A23"/>
    <w:rsid w:val="0034213F"/>
    <w:rsid w:val="003421AB"/>
    <w:rsid w:val="0034238F"/>
    <w:rsid w:val="00342529"/>
    <w:rsid w:val="0034369E"/>
    <w:rsid w:val="00343C53"/>
    <w:rsid w:val="00344430"/>
    <w:rsid w:val="00344637"/>
    <w:rsid w:val="003451BB"/>
    <w:rsid w:val="00346653"/>
    <w:rsid w:val="00346714"/>
    <w:rsid w:val="003505BA"/>
    <w:rsid w:val="003511DA"/>
    <w:rsid w:val="00351688"/>
    <w:rsid w:val="00351825"/>
    <w:rsid w:val="00351BC4"/>
    <w:rsid w:val="00352086"/>
    <w:rsid w:val="00353D85"/>
    <w:rsid w:val="00354B12"/>
    <w:rsid w:val="003552EA"/>
    <w:rsid w:val="003562E2"/>
    <w:rsid w:val="00360719"/>
    <w:rsid w:val="003622A3"/>
    <w:rsid w:val="00362A0E"/>
    <w:rsid w:val="00362EF9"/>
    <w:rsid w:val="00366550"/>
    <w:rsid w:val="00366A7E"/>
    <w:rsid w:val="00370F6B"/>
    <w:rsid w:val="0037144F"/>
    <w:rsid w:val="00372EBC"/>
    <w:rsid w:val="003733FF"/>
    <w:rsid w:val="003742A5"/>
    <w:rsid w:val="0037495A"/>
    <w:rsid w:val="00374EBC"/>
    <w:rsid w:val="0037571F"/>
    <w:rsid w:val="00376254"/>
    <w:rsid w:val="0037678E"/>
    <w:rsid w:val="00376F28"/>
    <w:rsid w:val="0037728F"/>
    <w:rsid w:val="003776F8"/>
    <w:rsid w:val="0038001F"/>
    <w:rsid w:val="003816DB"/>
    <w:rsid w:val="003817BC"/>
    <w:rsid w:val="0038390C"/>
    <w:rsid w:val="0038391C"/>
    <w:rsid w:val="00384072"/>
    <w:rsid w:val="00387096"/>
    <w:rsid w:val="00392850"/>
    <w:rsid w:val="003932F8"/>
    <w:rsid w:val="003949C2"/>
    <w:rsid w:val="00394AA7"/>
    <w:rsid w:val="0039636B"/>
    <w:rsid w:val="0039743F"/>
    <w:rsid w:val="003A114E"/>
    <w:rsid w:val="003A1D74"/>
    <w:rsid w:val="003A26EA"/>
    <w:rsid w:val="003A37EA"/>
    <w:rsid w:val="003A3F60"/>
    <w:rsid w:val="003A471F"/>
    <w:rsid w:val="003B26A1"/>
    <w:rsid w:val="003B42DB"/>
    <w:rsid w:val="003B46D0"/>
    <w:rsid w:val="003B47A2"/>
    <w:rsid w:val="003B698E"/>
    <w:rsid w:val="003B7F03"/>
    <w:rsid w:val="003C256F"/>
    <w:rsid w:val="003C2CCD"/>
    <w:rsid w:val="003C41E9"/>
    <w:rsid w:val="003C43B0"/>
    <w:rsid w:val="003C43DB"/>
    <w:rsid w:val="003C49BD"/>
    <w:rsid w:val="003C5ABC"/>
    <w:rsid w:val="003C72D4"/>
    <w:rsid w:val="003D2459"/>
    <w:rsid w:val="003E01C0"/>
    <w:rsid w:val="003E0D04"/>
    <w:rsid w:val="003E427C"/>
    <w:rsid w:val="003E476A"/>
    <w:rsid w:val="003E5AA0"/>
    <w:rsid w:val="003E76C9"/>
    <w:rsid w:val="003E7AAE"/>
    <w:rsid w:val="003F1EC2"/>
    <w:rsid w:val="003F2E57"/>
    <w:rsid w:val="003F2F64"/>
    <w:rsid w:val="003F43A4"/>
    <w:rsid w:val="003F5647"/>
    <w:rsid w:val="003F655A"/>
    <w:rsid w:val="003F7C79"/>
    <w:rsid w:val="003F7E8F"/>
    <w:rsid w:val="003F7FF9"/>
    <w:rsid w:val="00400902"/>
    <w:rsid w:val="0040139D"/>
    <w:rsid w:val="00401BB8"/>
    <w:rsid w:val="004035CB"/>
    <w:rsid w:val="00403A6A"/>
    <w:rsid w:val="0040446F"/>
    <w:rsid w:val="00404DE3"/>
    <w:rsid w:val="00406E4A"/>
    <w:rsid w:val="00407480"/>
    <w:rsid w:val="00407738"/>
    <w:rsid w:val="00407EE3"/>
    <w:rsid w:val="00411664"/>
    <w:rsid w:val="00411C27"/>
    <w:rsid w:val="0041211F"/>
    <w:rsid w:val="00413012"/>
    <w:rsid w:val="004164BA"/>
    <w:rsid w:val="004171DE"/>
    <w:rsid w:val="00420857"/>
    <w:rsid w:val="0042178F"/>
    <w:rsid w:val="00421A75"/>
    <w:rsid w:val="00421A77"/>
    <w:rsid w:val="00422B40"/>
    <w:rsid w:val="00422ED7"/>
    <w:rsid w:val="004239EB"/>
    <w:rsid w:val="004244D1"/>
    <w:rsid w:val="00427659"/>
    <w:rsid w:val="00427EAD"/>
    <w:rsid w:val="0043055B"/>
    <w:rsid w:val="00433104"/>
    <w:rsid w:val="004332ED"/>
    <w:rsid w:val="0043520B"/>
    <w:rsid w:val="00435346"/>
    <w:rsid w:val="0043568E"/>
    <w:rsid w:val="004368E1"/>
    <w:rsid w:val="00436D09"/>
    <w:rsid w:val="004404EA"/>
    <w:rsid w:val="00441389"/>
    <w:rsid w:val="00441D63"/>
    <w:rsid w:val="00442057"/>
    <w:rsid w:val="004434B2"/>
    <w:rsid w:val="004435B5"/>
    <w:rsid w:val="00444FEC"/>
    <w:rsid w:val="004450D2"/>
    <w:rsid w:val="00445FDF"/>
    <w:rsid w:val="0044683C"/>
    <w:rsid w:val="00446C2D"/>
    <w:rsid w:val="0045081B"/>
    <w:rsid w:val="004516EC"/>
    <w:rsid w:val="004520CD"/>
    <w:rsid w:val="00452F10"/>
    <w:rsid w:val="0045309F"/>
    <w:rsid w:val="004566C5"/>
    <w:rsid w:val="0045686D"/>
    <w:rsid w:val="00457525"/>
    <w:rsid w:val="004578B3"/>
    <w:rsid w:val="00461177"/>
    <w:rsid w:val="0046249E"/>
    <w:rsid w:val="00462E96"/>
    <w:rsid w:val="00463653"/>
    <w:rsid w:val="00463B96"/>
    <w:rsid w:val="00470549"/>
    <w:rsid w:val="00470D23"/>
    <w:rsid w:val="00470F3A"/>
    <w:rsid w:val="00472F09"/>
    <w:rsid w:val="0047383F"/>
    <w:rsid w:val="0047432F"/>
    <w:rsid w:val="004743EE"/>
    <w:rsid w:val="004754BF"/>
    <w:rsid w:val="00475A51"/>
    <w:rsid w:val="00475C97"/>
    <w:rsid w:val="00475E93"/>
    <w:rsid w:val="004764FC"/>
    <w:rsid w:val="00480F49"/>
    <w:rsid w:val="004814ED"/>
    <w:rsid w:val="0048273C"/>
    <w:rsid w:val="00482928"/>
    <w:rsid w:val="00483BBC"/>
    <w:rsid w:val="0048535E"/>
    <w:rsid w:val="004860C4"/>
    <w:rsid w:val="0048710F"/>
    <w:rsid w:val="00487180"/>
    <w:rsid w:val="00487D25"/>
    <w:rsid w:val="00490061"/>
    <w:rsid w:val="0049033E"/>
    <w:rsid w:val="00491539"/>
    <w:rsid w:val="0049281E"/>
    <w:rsid w:val="004930B8"/>
    <w:rsid w:val="00493467"/>
    <w:rsid w:val="00494FB9"/>
    <w:rsid w:val="00494FF6"/>
    <w:rsid w:val="0049535A"/>
    <w:rsid w:val="00495797"/>
    <w:rsid w:val="00495CDD"/>
    <w:rsid w:val="004961CB"/>
    <w:rsid w:val="0049650A"/>
    <w:rsid w:val="00496902"/>
    <w:rsid w:val="00496A6E"/>
    <w:rsid w:val="004979DA"/>
    <w:rsid w:val="00497A4B"/>
    <w:rsid w:val="004A093C"/>
    <w:rsid w:val="004A2A1C"/>
    <w:rsid w:val="004A2A3C"/>
    <w:rsid w:val="004A3633"/>
    <w:rsid w:val="004A3731"/>
    <w:rsid w:val="004B03F7"/>
    <w:rsid w:val="004B07C2"/>
    <w:rsid w:val="004B4339"/>
    <w:rsid w:val="004B455C"/>
    <w:rsid w:val="004B4AF6"/>
    <w:rsid w:val="004B7078"/>
    <w:rsid w:val="004B7404"/>
    <w:rsid w:val="004C0115"/>
    <w:rsid w:val="004C0C63"/>
    <w:rsid w:val="004C0EE3"/>
    <w:rsid w:val="004C2410"/>
    <w:rsid w:val="004C3385"/>
    <w:rsid w:val="004C3A3C"/>
    <w:rsid w:val="004C6664"/>
    <w:rsid w:val="004C6683"/>
    <w:rsid w:val="004C6E67"/>
    <w:rsid w:val="004C794B"/>
    <w:rsid w:val="004D002E"/>
    <w:rsid w:val="004D1145"/>
    <w:rsid w:val="004D2458"/>
    <w:rsid w:val="004D2B65"/>
    <w:rsid w:val="004D2F6B"/>
    <w:rsid w:val="004D362A"/>
    <w:rsid w:val="004D40F3"/>
    <w:rsid w:val="004D4642"/>
    <w:rsid w:val="004D5B7F"/>
    <w:rsid w:val="004D67AF"/>
    <w:rsid w:val="004D687A"/>
    <w:rsid w:val="004D6FF7"/>
    <w:rsid w:val="004E2026"/>
    <w:rsid w:val="004E207B"/>
    <w:rsid w:val="004E2693"/>
    <w:rsid w:val="004E58F2"/>
    <w:rsid w:val="004E5BDF"/>
    <w:rsid w:val="004E5E19"/>
    <w:rsid w:val="004E608B"/>
    <w:rsid w:val="004E6557"/>
    <w:rsid w:val="004E6D71"/>
    <w:rsid w:val="004E71F3"/>
    <w:rsid w:val="004E7BD5"/>
    <w:rsid w:val="004F195F"/>
    <w:rsid w:val="004F21B9"/>
    <w:rsid w:val="004F4062"/>
    <w:rsid w:val="004F497D"/>
    <w:rsid w:val="004F5601"/>
    <w:rsid w:val="004F5BCF"/>
    <w:rsid w:val="004F61DA"/>
    <w:rsid w:val="004F69CC"/>
    <w:rsid w:val="005010A6"/>
    <w:rsid w:val="00501251"/>
    <w:rsid w:val="005017F8"/>
    <w:rsid w:val="005021A2"/>
    <w:rsid w:val="00502581"/>
    <w:rsid w:val="00502B8B"/>
    <w:rsid w:val="00503217"/>
    <w:rsid w:val="00503BD4"/>
    <w:rsid w:val="00503C3E"/>
    <w:rsid w:val="00504A81"/>
    <w:rsid w:val="0050505C"/>
    <w:rsid w:val="00507CDC"/>
    <w:rsid w:val="005118C0"/>
    <w:rsid w:val="0051391C"/>
    <w:rsid w:val="00514255"/>
    <w:rsid w:val="00515568"/>
    <w:rsid w:val="005157AD"/>
    <w:rsid w:val="0051699C"/>
    <w:rsid w:val="00517469"/>
    <w:rsid w:val="005174E5"/>
    <w:rsid w:val="0052263B"/>
    <w:rsid w:val="00523453"/>
    <w:rsid w:val="0052370C"/>
    <w:rsid w:val="00526B20"/>
    <w:rsid w:val="005271A8"/>
    <w:rsid w:val="00527463"/>
    <w:rsid w:val="005275AF"/>
    <w:rsid w:val="00530F84"/>
    <w:rsid w:val="00532336"/>
    <w:rsid w:val="0053457D"/>
    <w:rsid w:val="00536E04"/>
    <w:rsid w:val="005371F8"/>
    <w:rsid w:val="005374B5"/>
    <w:rsid w:val="0054053D"/>
    <w:rsid w:val="00540723"/>
    <w:rsid w:val="00541379"/>
    <w:rsid w:val="00542657"/>
    <w:rsid w:val="0054538A"/>
    <w:rsid w:val="005462E7"/>
    <w:rsid w:val="0054673C"/>
    <w:rsid w:val="005468F6"/>
    <w:rsid w:val="00547060"/>
    <w:rsid w:val="00550D42"/>
    <w:rsid w:val="00551A07"/>
    <w:rsid w:val="005529E7"/>
    <w:rsid w:val="00552EAC"/>
    <w:rsid w:val="00552ED7"/>
    <w:rsid w:val="00553F02"/>
    <w:rsid w:val="00554A9F"/>
    <w:rsid w:val="005604B1"/>
    <w:rsid w:val="005609EC"/>
    <w:rsid w:val="005621E8"/>
    <w:rsid w:val="00562206"/>
    <w:rsid w:val="00563021"/>
    <w:rsid w:val="00563341"/>
    <w:rsid w:val="00563687"/>
    <w:rsid w:val="0056388C"/>
    <w:rsid w:val="0056437C"/>
    <w:rsid w:val="00565058"/>
    <w:rsid w:val="00565256"/>
    <w:rsid w:val="00565470"/>
    <w:rsid w:val="005674C3"/>
    <w:rsid w:val="0057073E"/>
    <w:rsid w:val="005707A4"/>
    <w:rsid w:val="005709DF"/>
    <w:rsid w:val="005750B8"/>
    <w:rsid w:val="0057578C"/>
    <w:rsid w:val="00575BE1"/>
    <w:rsid w:val="005765B0"/>
    <w:rsid w:val="005806C3"/>
    <w:rsid w:val="00582075"/>
    <w:rsid w:val="0058219B"/>
    <w:rsid w:val="005847B8"/>
    <w:rsid w:val="00584BC9"/>
    <w:rsid w:val="00585602"/>
    <w:rsid w:val="00585721"/>
    <w:rsid w:val="00586C82"/>
    <w:rsid w:val="00586F98"/>
    <w:rsid w:val="005878FC"/>
    <w:rsid w:val="00591E00"/>
    <w:rsid w:val="0059344A"/>
    <w:rsid w:val="00594395"/>
    <w:rsid w:val="005949E5"/>
    <w:rsid w:val="00595F6C"/>
    <w:rsid w:val="005969DF"/>
    <w:rsid w:val="005A129E"/>
    <w:rsid w:val="005A2326"/>
    <w:rsid w:val="005A25E9"/>
    <w:rsid w:val="005A26BC"/>
    <w:rsid w:val="005A33FB"/>
    <w:rsid w:val="005A37AF"/>
    <w:rsid w:val="005A4459"/>
    <w:rsid w:val="005A4877"/>
    <w:rsid w:val="005A52C6"/>
    <w:rsid w:val="005A7BA3"/>
    <w:rsid w:val="005B0910"/>
    <w:rsid w:val="005B16A4"/>
    <w:rsid w:val="005B1863"/>
    <w:rsid w:val="005B27C9"/>
    <w:rsid w:val="005B41F8"/>
    <w:rsid w:val="005B4F0F"/>
    <w:rsid w:val="005B707A"/>
    <w:rsid w:val="005B7278"/>
    <w:rsid w:val="005B76DA"/>
    <w:rsid w:val="005C0101"/>
    <w:rsid w:val="005C1748"/>
    <w:rsid w:val="005C1793"/>
    <w:rsid w:val="005C2AC5"/>
    <w:rsid w:val="005C3762"/>
    <w:rsid w:val="005C4905"/>
    <w:rsid w:val="005C621B"/>
    <w:rsid w:val="005C651A"/>
    <w:rsid w:val="005C6741"/>
    <w:rsid w:val="005C7791"/>
    <w:rsid w:val="005D175E"/>
    <w:rsid w:val="005D203E"/>
    <w:rsid w:val="005D2079"/>
    <w:rsid w:val="005D2A8A"/>
    <w:rsid w:val="005D3432"/>
    <w:rsid w:val="005D3646"/>
    <w:rsid w:val="005D3A45"/>
    <w:rsid w:val="005D482F"/>
    <w:rsid w:val="005D5842"/>
    <w:rsid w:val="005D5F47"/>
    <w:rsid w:val="005D6B51"/>
    <w:rsid w:val="005D7007"/>
    <w:rsid w:val="005D729E"/>
    <w:rsid w:val="005E24F3"/>
    <w:rsid w:val="005E2A29"/>
    <w:rsid w:val="005E2EC6"/>
    <w:rsid w:val="005E31A4"/>
    <w:rsid w:val="005E5535"/>
    <w:rsid w:val="005E5823"/>
    <w:rsid w:val="005E6400"/>
    <w:rsid w:val="005F09DB"/>
    <w:rsid w:val="005F497E"/>
    <w:rsid w:val="005F54E5"/>
    <w:rsid w:val="006014D8"/>
    <w:rsid w:val="00601F0B"/>
    <w:rsid w:val="00602B68"/>
    <w:rsid w:val="006031AB"/>
    <w:rsid w:val="00603FFC"/>
    <w:rsid w:val="00604CF0"/>
    <w:rsid w:val="006054DF"/>
    <w:rsid w:val="00606E45"/>
    <w:rsid w:val="006101C4"/>
    <w:rsid w:val="0061087F"/>
    <w:rsid w:val="006137AF"/>
    <w:rsid w:val="00616C6E"/>
    <w:rsid w:val="00616DBF"/>
    <w:rsid w:val="00620442"/>
    <w:rsid w:val="00620D1C"/>
    <w:rsid w:val="00620F55"/>
    <w:rsid w:val="0062196B"/>
    <w:rsid w:val="00623347"/>
    <w:rsid w:val="00623626"/>
    <w:rsid w:val="00623DC6"/>
    <w:rsid w:val="0062429B"/>
    <w:rsid w:val="006278AB"/>
    <w:rsid w:val="00632C45"/>
    <w:rsid w:val="006339E3"/>
    <w:rsid w:val="00633DB3"/>
    <w:rsid w:val="00635F9F"/>
    <w:rsid w:val="0063674B"/>
    <w:rsid w:val="00637685"/>
    <w:rsid w:val="00640044"/>
    <w:rsid w:val="006415EA"/>
    <w:rsid w:val="00641EC4"/>
    <w:rsid w:val="00644524"/>
    <w:rsid w:val="00644A30"/>
    <w:rsid w:val="006459CC"/>
    <w:rsid w:val="00647A95"/>
    <w:rsid w:val="00647BDF"/>
    <w:rsid w:val="00650D6C"/>
    <w:rsid w:val="00651651"/>
    <w:rsid w:val="0065211A"/>
    <w:rsid w:val="00652A36"/>
    <w:rsid w:val="00652F04"/>
    <w:rsid w:val="0065309C"/>
    <w:rsid w:val="006534D1"/>
    <w:rsid w:val="00655013"/>
    <w:rsid w:val="0065738F"/>
    <w:rsid w:val="00660AA5"/>
    <w:rsid w:val="00661155"/>
    <w:rsid w:val="00661CEB"/>
    <w:rsid w:val="0066285D"/>
    <w:rsid w:val="006630EE"/>
    <w:rsid w:val="0066603A"/>
    <w:rsid w:val="006665A5"/>
    <w:rsid w:val="00670FF9"/>
    <w:rsid w:val="00673ECC"/>
    <w:rsid w:val="00674DC4"/>
    <w:rsid w:val="00675717"/>
    <w:rsid w:val="00676433"/>
    <w:rsid w:val="00677C5E"/>
    <w:rsid w:val="0068167C"/>
    <w:rsid w:val="00683250"/>
    <w:rsid w:val="00683B9A"/>
    <w:rsid w:val="00686D1D"/>
    <w:rsid w:val="00686E30"/>
    <w:rsid w:val="006877C9"/>
    <w:rsid w:val="00690B1D"/>
    <w:rsid w:val="006929A5"/>
    <w:rsid w:val="00692BCF"/>
    <w:rsid w:val="0069307F"/>
    <w:rsid w:val="00693702"/>
    <w:rsid w:val="00693847"/>
    <w:rsid w:val="00693D39"/>
    <w:rsid w:val="00695485"/>
    <w:rsid w:val="00695BB2"/>
    <w:rsid w:val="006A03BF"/>
    <w:rsid w:val="006A507B"/>
    <w:rsid w:val="006A6640"/>
    <w:rsid w:val="006A6A60"/>
    <w:rsid w:val="006A79D5"/>
    <w:rsid w:val="006A7DA5"/>
    <w:rsid w:val="006B1557"/>
    <w:rsid w:val="006B19D4"/>
    <w:rsid w:val="006B3C05"/>
    <w:rsid w:val="006B42BC"/>
    <w:rsid w:val="006B4C09"/>
    <w:rsid w:val="006B5A77"/>
    <w:rsid w:val="006B5C9A"/>
    <w:rsid w:val="006B6E97"/>
    <w:rsid w:val="006C0337"/>
    <w:rsid w:val="006C0616"/>
    <w:rsid w:val="006C1DBD"/>
    <w:rsid w:val="006C2CEB"/>
    <w:rsid w:val="006C4139"/>
    <w:rsid w:val="006C43D6"/>
    <w:rsid w:val="006C5A27"/>
    <w:rsid w:val="006D38D6"/>
    <w:rsid w:val="006D3EDA"/>
    <w:rsid w:val="006D4555"/>
    <w:rsid w:val="006D50F1"/>
    <w:rsid w:val="006D5EC9"/>
    <w:rsid w:val="006D7785"/>
    <w:rsid w:val="006E027C"/>
    <w:rsid w:val="006E06D3"/>
    <w:rsid w:val="006E082F"/>
    <w:rsid w:val="006E3FDB"/>
    <w:rsid w:val="006E5089"/>
    <w:rsid w:val="006E6465"/>
    <w:rsid w:val="006F01F6"/>
    <w:rsid w:val="006F02E2"/>
    <w:rsid w:val="006F0A68"/>
    <w:rsid w:val="006F0B25"/>
    <w:rsid w:val="006F1154"/>
    <w:rsid w:val="006F2D46"/>
    <w:rsid w:val="006F2EA9"/>
    <w:rsid w:val="006F3986"/>
    <w:rsid w:val="006F3C8A"/>
    <w:rsid w:val="006F48F0"/>
    <w:rsid w:val="006F4920"/>
    <w:rsid w:val="006F4D72"/>
    <w:rsid w:val="006F6608"/>
    <w:rsid w:val="006F7241"/>
    <w:rsid w:val="007001C3"/>
    <w:rsid w:val="007019B2"/>
    <w:rsid w:val="007021F2"/>
    <w:rsid w:val="00702C1D"/>
    <w:rsid w:val="00703566"/>
    <w:rsid w:val="007043F7"/>
    <w:rsid w:val="00704857"/>
    <w:rsid w:val="007055F9"/>
    <w:rsid w:val="00705870"/>
    <w:rsid w:val="00705D34"/>
    <w:rsid w:val="00706B6C"/>
    <w:rsid w:val="007071C3"/>
    <w:rsid w:val="00707362"/>
    <w:rsid w:val="0071061F"/>
    <w:rsid w:val="00710A3C"/>
    <w:rsid w:val="00711FAA"/>
    <w:rsid w:val="007134F0"/>
    <w:rsid w:val="0071622D"/>
    <w:rsid w:val="00716387"/>
    <w:rsid w:val="00717573"/>
    <w:rsid w:val="00717C6F"/>
    <w:rsid w:val="00725BDA"/>
    <w:rsid w:val="00726FF7"/>
    <w:rsid w:val="00730585"/>
    <w:rsid w:val="00730A47"/>
    <w:rsid w:val="00732E9D"/>
    <w:rsid w:val="00733435"/>
    <w:rsid w:val="00736931"/>
    <w:rsid w:val="00736D37"/>
    <w:rsid w:val="00736FAE"/>
    <w:rsid w:val="00740705"/>
    <w:rsid w:val="00740F5E"/>
    <w:rsid w:val="00741CF8"/>
    <w:rsid w:val="00742203"/>
    <w:rsid w:val="007439AD"/>
    <w:rsid w:val="00743EBE"/>
    <w:rsid w:val="00743FDE"/>
    <w:rsid w:val="007443A4"/>
    <w:rsid w:val="0074498A"/>
    <w:rsid w:val="00745752"/>
    <w:rsid w:val="00745D9A"/>
    <w:rsid w:val="007463AE"/>
    <w:rsid w:val="007463D6"/>
    <w:rsid w:val="00746B40"/>
    <w:rsid w:val="00747222"/>
    <w:rsid w:val="0075040A"/>
    <w:rsid w:val="007506BA"/>
    <w:rsid w:val="00750BFF"/>
    <w:rsid w:val="00750D52"/>
    <w:rsid w:val="00752473"/>
    <w:rsid w:val="00752884"/>
    <w:rsid w:val="00753DA4"/>
    <w:rsid w:val="007547A4"/>
    <w:rsid w:val="00754BA6"/>
    <w:rsid w:val="00754F8D"/>
    <w:rsid w:val="00756867"/>
    <w:rsid w:val="00756F29"/>
    <w:rsid w:val="00760799"/>
    <w:rsid w:val="0076128B"/>
    <w:rsid w:val="00762343"/>
    <w:rsid w:val="0076330F"/>
    <w:rsid w:val="00765DF0"/>
    <w:rsid w:val="00766D34"/>
    <w:rsid w:val="00766EDC"/>
    <w:rsid w:val="00767280"/>
    <w:rsid w:val="007700AB"/>
    <w:rsid w:val="00770123"/>
    <w:rsid w:val="007725C1"/>
    <w:rsid w:val="0077292A"/>
    <w:rsid w:val="00773936"/>
    <w:rsid w:val="00773CB4"/>
    <w:rsid w:val="007740F8"/>
    <w:rsid w:val="007758E7"/>
    <w:rsid w:val="0077686B"/>
    <w:rsid w:val="00777F4B"/>
    <w:rsid w:val="007821DB"/>
    <w:rsid w:val="00782D9F"/>
    <w:rsid w:val="00784683"/>
    <w:rsid w:val="00785003"/>
    <w:rsid w:val="00786C11"/>
    <w:rsid w:val="0078779E"/>
    <w:rsid w:val="007903AD"/>
    <w:rsid w:val="0079074F"/>
    <w:rsid w:val="007913C2"/>
    <w:rsid w:val="00792346"/>
    <w:rsid w:val="00792AA0"/>
    <w:rsid w:val="00794527"/>
    <w:rsid w:val="00795107"/>
    <w:rsid w:val="0079517D"/>
    <w:rsid w:val="007953E7"/>
    <w:rsid w:val="007975AE"/>
    <w:rsid w:val="007A02A3"/>
    <w:rsid w:val="007A12C4"/>
    <w:rsid w:val="007A1327"/>
    <w:rsid w:val="007A37E4"/>
    <w:rsid w:val="007A4585"/>
    <w:rsid w:val="007A4D97"/>
    <w:rsid w:val="007A6ECB"/>
    <w:rsid w:val="007B1C89"/>
    <w:rsid w:val="007B54D4"/>
    <w:rsid w:val="007B6A80"/>
    <w:rsid w:val="007C01B0"/>
    <w:rsid w:val="007C056A"/>
    <w:rsid w:val="007C0A68"/>
    <w:rsid w:val="007C480B"/>
    <w:rsid w:val="007C4817"/>
    <w:rsid w:val="007C4EAC"/>
    <w:rsid w:val="007C786D"/>
    <w:rsid w:val="007C7C2C"/>
    <w:rsid w:val="007D047A"/>
    <w:rsid w:val="007D0619"/>
    <w:rsid w:val="007D5D68"/>
    <w:rsid w:val="007D750C"/>
    <w:rsid w:val="007E0A07"/>
    <w:rsid w:val="007E1EE2"/>
    <w:rsid w:val="007E23BF"/>
    <w:rsid w:val="007E2FCB"/>
    <w:rsid w:val="007E48FF"/>
    <w:rsid w:val="007E588E"/>
    <w:rsid w:val="007E5F59"/>
    <w:rsid w:val="007E7957"/>
    <w:rsid w:val="007F031E"/>
    <w:rsid w:val="007F095B"/>
    <w:rsid w:val="007F18A1"/>
    <w:rsid w:val="007F40BB"/>
    <w:rsid w:val="007F472A"/>
    <w:rsid w:val="007F56DF"/>
    <w:rsid w:val="007F6357"/>
    <w:rsid w:val="007F7CF4"/>
    <w:rsid w:val="00801593"/>
    <w:rsid w:val="00803414"/>
    <w:rsid w:val="00803A35"/>
    <w:rsid w:val="008040DF"/>
    <w:rsid w:val="00804105"/>
    <w:rsid w:val="00804F56"/>
    <w:rsid w:val="0080504A"/>
    <w:rsid w:val="00805AD9"/>
    <w:rsid w:val="00806E67"/>
    <w:rsid w:val="00806E7C"/>
    <w:rsid w:val="00807465"/>
    <w:rsid w:val="00810719"/>
    <w:rsid w:val="00810974"/>
    <w:rsid w:val="008112BC"/>
    <w:rsid w:val="00811535"/>
    <w:rsid w:val="00811E4E"/>
    <w:rsid w:val="00814AC1"/>
    <w:rsid w:val="00816A6D"/>
    <w:rsid w:val="00820491"/>
    <w:rsid w:val="00823417"/>
    <w:rsid w:val="008236F4"/>
    <w:rsid w:val="00825311"/>
    <w:rsid w:val="00826524"/>
    <w:rsid w:val="008275B1"/>
    <w:rsid w:val="00830BDC"/>
    <w:rsid w:val="00830C77"/>
    <w:rsid w:val="0083182E"/>
    <w:rsid w:val="00832027"/>
    <w:rsid w:val="00832363"/>
    <w:rsid w:val="0083252B"/>
    <w:rsid w:val="008342FA"/>
    <w:rsid w:val="00834A71"/>
    <w:rsid w:val="00835201"/>
    <w:rsid w:val="00835808"/>
    <w:rsid w:val="00836DE8"/>
    <w:rsid w:val="00837CD7"/>
    <w:rsid w:val="0084024C"/>
    <w:rsid w:val="0084038F"/>
    <w:rsid w:val="00841392"/>
    <w:rsid w:val="008413E9"/>
    <w:rsid w:val="008414E7"/>
    <w:rsid w:val="00842C86"/>
    <w:rsid w:val="008432F6"/>
    <w:rsid w:val="00843700"/>
    <w:rsid w:val="00844026"/>
    <w:rsid w:val="008444FF"/>
    <w:rsid w:val="0084475D"/>
    <w:rsid w:val="00844E4E"/>
    <w:rsid w:val="008462C0"/>
    <w:rsid w:val="0084655D"/>
    <w:rsid w:val="008511FC"/>
    <w:rsid w:val="00854B6E"/>
    <w:rsid w:val="00854BB1"/>
    <w:rsid w:val="00854D43"/>
    <w:rsid w:val="00856C6C"/>
    <w:rsid w:val="00862E16"/>
    <w:rsid w:val="008644D6"/>
    <w:rsid w:val="00864C0A"/>
    <w:rsid w:val="008658AC"/>
    <w:rsid w:val="00865ADB"/>
    <w:rsid w:val="00865D2B"/>
    <w:rsid w:val="008669A7"/>
    <w:rsid w:val="00866DC4"/>
    <w:rsid w:val="00867D46"/>
    <w:rsid w:val="00871363"/>
    <w:rsid w:val="00871E2B"/>
    <w:rsid w:val="0087362F"/>
    <w:rsid w:val="00873F9D"/>
    <w:rsid w:val="00875A13"/>
    <w:rsid w:val="00875FCB"/>
    <w:rsid w:val="00880355"/>
    <w:rsid w:val="008810C5"/>
    <w:rsid w:val="00881D71"/>
    <w:rsid w:val="00881EFF"/>
    <w:rsid w:val="00882698"/>
    <w:rsid w:val="00884DE3"/>
    <w:rsid w:val="00885F73"/>
    <w:rsid w:val="008878EF"/>
    <w:rsid w:val="00890905"/>
    <w:rsid w:val="0089104C"/>
    <w:rsid w:val="00891573"/>
    <w:rsid w:val="008920EF"/>
    <w:rsid w:val="0089355C"/>
    <w:rsid w:val="00894D9D"/>
    <w:rsid w:val="00895F16"/>
    <w:rsid w:val="008962E9"/>
    <w:rsid w:val="008968E5"/>
    <w:rsid w:val="00896C7B"/>
    <w:rsid w:val="008977D7"/>
    <w:rsid w:val="008A08D1"/>
    <w:rsid w:val="008A12C7"/>
    <w:rsid w:val="008A1E43"/>
    <w:rsid w:val="008A2C26"/>
    <w:rsid w:val="008A3FC9"/>
    <w:rsid w:val="008A593B"/>
    <w:rsid w:val="008A775D"/>
    <w:rsid w:val="008B0D1E"/>
    <w:rsid w:val="008B6DEF"/>
    <w:rsid w:val="008B6FE4"/>
    <w:rsid w:val="008B702A"/>
    <w:rsid w:val="008B7B33"/>
    <w:rsid w:val="008C4BB5"/>
    <w:rsid w:val="008C4E45"/>
    <w:rsid w:val="008C544C"/>
    <w:rsid w:val="008C6744"/>
    <w:rsid w:val="008C78E2"/>
    <w:rsid w:val="008C7DEE"/>
    <w:rsid w:val="008D24E8"/>
    <w:rsid w:val="008D36C4"/>
    <w:rsid w:val="008D4695"/>
    <w:rsid w:val="008D4E32"/>
    <w:rsid w:val="008D51AE"/>
    <w:rsid w:val="008D7F7F"/>
    <w:rsid w:val="008E04E6"/>
    <w:rsid w:val="008E1232"/>
    <w:rsid w:val="008E3599"/>
    <w:rsid w:val="008E40E8"/>
    <w:rsid w:val="008E4660"/>
    <w:rsid w:val="008E4882"/>
    <w:rsid w:val="008E4B2C"/>
    <w:rsid w:val="008E6F8E"/>
    <w:rsid w:val="008F1214"/>
    <w:rsid w:val="008F2A66"/>
    <w:rsid w:val="008F2A7E"/>
    <w:rsid w:val="008F2CF3"/>
    <w:rsid w:val="008F3162"/>
    <w:rsid w:val="008F5585"/>
    <w:rsid w:val="008F56E1"/>
    <w:rsid w:val="008F7004"/>
    <w:rsid w:val="008F7E52"/>
    <w:rsid w:val="00900006"/>
    <w:rsid w:val="00906928"/>
    <w:rsid w:val="00907094"/>
    <w:rsid w:val="009070ED"/>
    <w:rsid w:val="00907935"/>
    <w:rsid w:val="00912B64"/>
    <w:rsid w:val="0091302A"/>
    <w:rsid w:val="0091626E"/>
    <w:rsid w:val="009163C7"/>
    <w:rsid w:val="00916463"/>
    <w:rsid w:val="00916FDC"/>
    <w:rsid w:val="00917600"/>
    <w:rsid w:val="00917E19"/>
    <w:rsid w:val="0092478C"/>
    <w:rsid w:val="00926468"/>
    <w:rsid w:val="0092706E"/>
    <w:rsid w:val="00927100"/>
    <w:rsid w:val="00927145"/>
    <w:rsid w:val="00927C6B"/>
    <w:rsid w:val="009319EA"/>
    <w:rsid w:val="00932243"/>
    <w:rsid w:val="00932954"/>
    <w:rsid w:val="00934D6A"/>
    <w:rsid w:val="0093640A"/>
    <w:rsid w:val="00936CA2"/>
    <w:rsid w:val="009378A6"/>
    <w:rsid w:val="00940AE0"/>
    <w:rsid w:val="00940C13"/>
    <w:rsid w:val="009427D8"/>
    <w:rsid w:val="00942A48"/>
    <w:rsid w:val="00942CDF"/>
    <w:rsid w:val="009444A9"/>
    <w:rsid w:val="0094460C"/>
    <w:rsid w:val="00945121"/>
    <w:rsid w:val="009467ED"/>
    <w:rsid w:val="00947527"/>
    <w:rsid w:val="00947922"/>
    <w:rsid w:val="00947985"/>
    <w:rsid w:val="00947FB8"/>
    <w:rsid w:val="00950F66"/>
    <w:rsid w:val="0095139D"/>
    <w:rsid w:val="00951BCE"/>
    <w:rsid w:val="0095283E"/>
    <w:rsid w:val="00953A69"/>
    <w:rsid w:val="00954E3C"/>
    <w:rsid w:val="00956D52"/>
    <w:rsid w:val="00957B14"/>
    <w:rsid w:val="00960184"/>
    <w:rsid w:val="00962160"/>
    <w:rsid w:val="00962EDD"/>
    <w:rsid w:val="009633C3"/>
    <w:rsid w:val="00965A10"/>
    <w:rsid w:val="00965EE5"/>
    <w:rsid w:val="009754A8"/>
    <w:rsid w:val="009761BC"/>
    <w:rsid w:val="00976AB4"/>
    <w:rsid w:val="00976E93"/>
    <w:rsid w:val="00976F6B"/>
    <w:rsid w:val="00977650"/>
    <w:rsid w:val="00977BDC"/>
    <w:rsid w:val="00977CEE"/>
    <w:rsid w:val="00981262"/>
    <w:rsid w:val="0098195F"/>
    <w:rsid w:val="00981AFE"/>
    <w:rsid w:val="00982D08"/>
    <w:rsid w:val="00982E0F"/>
    <w:rsid w:val="009833F7"/>
    <w:rsid w:val="00984827"/>
    <w:rsid w:val="00984ED8"/>
    <w:rsid w:val="00986B45"/>
    <w:rsid w:val="00993E84"/>
    <w:rsid w:val="00994265"/>
    <w:rsid w:val="0099470C"/>
    <w:rsid w:val="00994EF7"/>
    <w:rsid w:val="009953AC"/>
    <w:rsid w:val="00995FA6"/>
    <w:rsid w:val="0099737E"/>
    <w:rsid w:val="00997BAE"/>
    <w:rsid w:val="009A0F06"/>
    <w:rsid w:val="009A1848"/>
    <w:rsid w:val="009A1A3F"/>
    <w:rsid w:val="009A7CCA"/>
    <w:rsid w:val="009B01B7"/>
    <w:rsid w:val="009B0361"/>
    <w:rsid w:val="009B13C2"/>
    <w:rsid w:val="009B1CED"/>
    <w:rsid w:val="009B20E3"/>
    <w:rsid w:val="009B29E4"/>
    <w:rsid w:val="009B41F3"/>
    <w:rsid w:val="009B4350"/>
    <w:rsid w:val="009B4F75"/>
    <w:rsid w:val="009B5F69"/>
    <w:rsid w:val="009B5FDF"/>
    <w:rsid w:val="009C0369"/>
    <w:rsid w:val="009C09D6"/>
    <w:rsid w:val="009C14B2"/>
    <w:rsid w:val="009C18E5"/>
    <w:rsid w:val="009C3041"/>
    <w:rsid w:val="009C30FA"/>
    <w:rsid w:val="009C3AC1"/>
    <w:rsid w:val="009C4AFB"/>
    <w:rsid w:val="009C4D79"/>
    <w:rsid w:val="009C642B"/>
    <w:rsid w:val="009C6587"/>
    <w:rsid w:val="009C7CBE"/>
    <w:rsid w:val="009D3D12"/>
    <w:rsid w:val="009D45FA"/>
    <w:rsid w:val="009D4E85"/>
    <w:rsid w:val="009D5109"/>
    <w:rsid w:val="009E013C"/>
    <w:rsid w:val="009E04D4"/>
    <w:rsid w:val="009E3C4F"/>
    <w:rsid w:val="009E3CBB"/>
    <w:rsid w:val="009E4581"/>
    <w:rsid w:val="009E494D"/>
    <w:rsid w:val="009E5133"/>
    <w:rsid w:val="009E79F9"/>
    <w:rsid w:val="009E7C09"/>
    <w:rsid w:val="009F0E68"/>
    <w:rsid w:val="009F111C"/>
    <w:rsid w:val="009F143B"/>
    <w:rsid w:val="009F2BDC"/>
    <w:rsid w:val="009F3165"/>
    <w:rsid w:val="00A003EF"/>
    <w:rsid w:val="00A01EFF"/>
    <w:rsid w:val="00A022C9"/>
    <w:rsid w:val="00A04C04"/>
    <w:rsid w:val="00A04EA0"/>
    <w:rsid w:val="00A06038"/>
    <w:rsid w:val="00A07705"/>
    <w:rsid w:val="00A079F4"/>
    <w:rsid w:val="00A11FBF"/>
    <w:rsid w:val="00A130B7"/>
    <w:rsid w:val="00A13988"/>
    <w:rsid w:val="00A14726"/>
    <w:rsid w:val="00A1571B"/>
    <w:rsid w:val="00A15941"/>
    <w:rsid w:val="00A1798D"/>
    <w:rsid w:val="00A23A3F"/>
    <w:rsid w:val="00A24980"/>
    <w:rsid w:val="00A27CCF"/>
    <w:rsid w:val="00A300BB"/>
    <w:rsid w:val="00A3297C"/>
    <w:rsid w:val="00A370AE"/>
    <w:rsid w:val="00A410BD"/>
    <w:rsid w:val="00A4124F"/>
    <w:rsid w:val="00A417F0"/>
    <w:rsid w:val="00A42937"/>
    <w:rsid w:val="00A4393F"/>
    <w:rsid w:val="00A45126"/>
    <w:rsid w:val="00A45E78"/>
    <w:rsid w:val="00A517C7"/>
    <w:rsid w:val="00A52943"/>
    <w:rsid w:val="00A534BE"/>
    <w:rsid w:val="00A54458"/>
    <w:rsid w:val="00A54E0B"/>
    <w:rsid w:val="00A56BFF"/>
    <w:rsid w:val="00A6127D"/>
    <w:rsid w:val="00A6224A"/>
    <w:rsid w:val="00A63521"/>
    <w:rsid w:val="00A639E6"/>
    <w:rsid w:val="00A64036"/>
    <w:rsid w:val="00A64D7A"/>
    <w:rsid w:val="00A656F3"/>
    <w:rsid w:val="00A66D6F"/>
    <w:rsid w:val="00A703F5"/>
    <w:rsid w:val="00A70F97"/>
    <w:rsid w:val="00A72239"/>
    <w:rsid w:val="00A727BA"/>
    <w:rsid w:val="00A74C4E"/>
    <w:rsid w:val="00A759CF"/>
    <w:rsid w:val="00A75C99"/>
    <w:rsid w:val="00A76551"/>
    <w:rsid w:val="00A773E8"/>
    <w:rsid w:val="00A77878"/>
    <w:rsid w:val="00A81142"/>
    <w:rsid w:val="00A81C0B"/>
    <w:rsid w:val="00A82B8D"/>
    <w:rsid w:val="00A8476C"/>
    <w:rsid w:val="00A84776"/>
    <w:rsid w:val="00A85AA3"/>
    <w:rsid w:val="00A86A57"/>
    <w:rsid w:val="00A86CF0"/>
    <w:rsid w:val="00A86FCB"/>
    <w:rsid w:val="00A870B2"/>
    <w:rsid w:val="00A875D7"/>
    <w:rsid w:val="00A9067E"/>
    <w:rsid w:val="00A906CF"/>
    <w:rsid w:val="00A90725"/>
    <w:rsid w:val="00A910E6"/>
    <w:rsid w:val="00A914B5"/>
    <w:rsid w:val="00A918DC"/>
    <w:rsid w:val="00A921DD"/>
    <w:rsid w:val="00A93BF5"/>
    <w:rsid w:val="00A943CB"/>
    <w:rsid w:val="00A94C6F"/>
    <w:rsid w:val="00A94DE3"/>
    <w:rsid w:val="00AA09B6"/>
    <w:rsid w:val="00AA25B2"/>
    <w:rsid w:val="00AA2713"/>
    <w:rsid w:val="00AA35FF"/>
    <w:rsid w:val="00AA3F65"/>
    <w:rsid w:val="00AA45BF"/>
    <w:rsid w:val="00AA4985"/>
    <w:rsid w:val="00AA571E"/>
    <w:rsid w:val="00AA72FF"/>
    <w:rsid w:val="00AB1766"/>
    <w:rsid w:val="00AB1EF4"/>
    <w:rsid w:val="00AB2DBE"/>
    <w:rsid w:val="00AB48AA"/>
    <w:rsid w:val="00AB5407"/>
    <w:rsid w:val="00AB5ECC"/>
    <w:rsid w:val="00AB6298"/>
    <w:rsid w:val="00AB7BD2"/>
    <w:rsid w:val="00AB7C2A"/>
    <w:rsid w:val="00AC2172"/>
    <w:rsid w:val="00AC3FF9"/>
    <w:rsid w:val="00AC430A"/>
    <w:rsid w:val="00AC569B"/>
    <w:rsid w:val="00AC58D1"/>
    <w:rsid w:val="00AC65E7"/>
    <w:rsid w:val="00AC74A1"/>
    <w:rsid w:val="00AC7B49"/>
    <w:rsid w:val="00AC7B56"/>
    <w:rsid w:val="00AD03F0"/>
    <w:rsid w:val="00AD0797"/>
    <w:rsid w:val="00AD0AFA"/>
    <w:rsid w:val="00AD315D"/>
    <w:rsid w:val="00AD490F"/>
    <w:rsid w:val="00AD5092"/>
    <w:rsid w:val="00AD51D6"/>
    <w:rsid w:val="00AD5D40"/>
    <w:rsid w:val="00AD782B"/>
    <w:rsid w:val="00AD7D8C"/>
    <w:rsid w:val="00AE4246"/>
    <w:rsid w:val="00AE709C"/>
    <w:rsid w:val="00AF1120"/>
    <w:rsid w:val="00AF47E3"/>
    <w:rsid w:val="00AF48EA"/>
    <w:rsid w:val="00AF4CFD"/>
    <w:rsid w:val="00AF5052"/>
    <w:rsid w:val="00AF535A"/>
    <w:rsid w:val="00AF6297"/>
    <w:rsid w:val="00AF6EDC"/>
    <w:rsid w:val="00AF7512"/>
    <w:rsid w:val="00B0039B"/>
    <w:rsid w:val="00B00872"/>
    <w:rsid w:val="00B01D25"/>
    <w:rsid w:val="00B02283"/>
    <w:rsid w:val="00B02A15"/>
    <w:rsid w:val="00B02CAC"/>
    <w:rsid w:val="00B04E03"/>
    <w:rsid w:val="00B051AB"/>
    <w:rsid w:val="00B06741"/>
    <w:rsid w:val="00B10291"/>
    <w:rsid w:val="00B12D25"/>
    <w:rsid w:val="00B12FE5"/>
    <w:rsid w:val="00B136A5"/>
    <w:rsid w:val="00B1542F"/>
    <w:rsid w:val="00B17367"/>
    <w:rsid w:val="00B1761B"/>
    <w:rsid w:val="00B216BB"/>
    <w:rsid w:val="00B255E7"/>
    <w:rsid w:val="00B26C4F"/>
    <w:rsid w:val="00B27BDD"/>
    <w:rsid w:val="00B3199B"/>
    <w:rsid w:val="00B323AA"/>
    <w:rsid w:val="00B33282"/>
    <w:rsid w:val="00B34BA1"/>
    <w:rsid w:val="00B34FA2"/>
    <w:rsid w:val="00B36877"/>
    <w:rsid w:val="00B37C90"/>
    <w:rsid w:val="00B41990"/>
    <w:rsid w:val="00B439BC"/>
    <w:rsid w:val="00B44BD4"/>
    <w:rsid w:val="00B46112"/>
    <w:rsid w:val="00B46444"/>
    <w:rsid w:val="00B46C04"/>
    <w:rsid w:val="00B46F96"/>
    <w:rsid w:val="00B52DD6"/>
    <w:rsid w:val="00B53D8B"/>
    <w:rsid w:val="00B54DC4"/>
    <w:rsid w:val="00B54E3B"/>
    <w:rsid w:val="00B55C54"/>
    <w:rsid w:val="00B55F4C"/>
    <w:rsid w:val="00B56541"/>
    <w:rsid w:val="00B56B1B"/>
    <w:rsid w:val="00B57327"/>
    <w:rsid w:val="00B61113"/>
    <w:rsid w:val="00B648CF"/>
    <w:rsid w:val="00B64ADD"/>
    <w:rsid w:val="00B64FE5"/>
    <w:rsid w:val="00B666D4"/>
    <w:rsid w:val="00B6769F"/>
    <w:rsid w:val="00B676B5"/>
    <w:rsid w:val="00B70B41"/>
    <w:rsid w:val="00B72AE7"/>
    <w:rsid w:val="00B7320A"/>
    <w:rsid w:val="00B746A3"/>
    <w:rsid w:val="00B74A24"/>
    <w:rsid w:val="00B755B7"/>
    <w:rsid w:val="00B75658"/>
    <w:rsid w:val="00B757E7"/>
    <w:rsid w:val="00B76100"/>
    <w:rsid w:val="00B76106"/>
    <w:rsid w:val="00B76CD3"/>
    <w:rsid w:val="00B77B88"/>
    <w:rsid w:val="00B80D29"/>
    <w:rsid w:val="00B826F5"/>
    <w:rsid w:val="00B833C3"/>
    <w:rsid w:val="00B834CD"/>
    <w:rsid w:val="00B83894"/>
    <w:rsid w:val="00B9160D"/>
    <w:rsid w:val="00B93D30"/>
    <w:rsid w:val="00B95523"/>
    <w:rsid w:val="00B9733D"/>
    <w:rsid w:val="00B97E69"/>
    <w:rsid w:val="00BA02E2"/>
    <w:rsid w:val="00BA1416"/>
    <w:rsid w:val="00BA15C9"/>
    <w:rsid w:val="00BA1E04"/>
    <w:rsid w:val="00BA38DF"/>
    <w:rsid w:val="00BA3EFA"/>
    <w:rsid w:val="00BA447B"/>
    <w:rsid w:val="00BA566D"/>
    <w:rsid w:val="00BA5913"/>
    <w:rsid w:val="00BA5A44"/>
    <w:rsid w:val="00BA74E5"/>
    <w:rsid w:val="00BB183C"/>
    <w:rsid w:val="00BB18D5"/>
    <w:rsid w:val="00BB2028"/>
    <w:rsid w:val="00BB2173"/>
    <w:rsid w:val="00BB3692"/>
    <w:rsid w:val="00BB3B25"/>
    <w:rsid w:val="00BB3D1D"/>
    <w:rsid w:val="00BB5681"/>
    <w:rsid w:val="00BB5888"/>
    <w:rsid w:val="00BB5CD0"/>
    <w:rsid w:val="00BB66BA"/>
    <w:rsid w:val="00BB74E2"/>
    <w:rsid w:val="00BC0233"/>
    <w:rsid w:val="00BC12EC"/>
    <w:rsid w:val="00BC1A34"/>
    <w:rsid w:val="00BC4310"/>
    <w:rsid w:val="00BC5CC6"/>
    <w:rsid w:val="00BC5FF5"/>
    <w:rsid w:val="00BD20CF"/>
    <w:rsid w:val="00BD2CE1"/>
    <w:rsid w:val="00BD3384"/>
    <w:rsid w:val="00BD3B7C"/>
    <w:rsid w:val="00BD41F8"/>
    <w:rsid w:val="00BD4E0D"/>
    <w:rsid w:val="00BD5F18"/>
    <w:rsid w:val="00BD74C5"/>
    <w:rsid w:val="00BD79B1"/>
    <w:rsid w:val="00BE01C1"/>
    <w:rsid w:val="00BE1543"/>
    <w:rsid w:val="00BE3DA5"/>
    <w:rsid w:val="00BE4884"/>
    <w:rsid w:val="00BE4FED"/>
    <w:rsid w:val="00BE5AEE"/>
    <w:rsid w:val="00BF0038"/>
    <w:rsid w:val="00BF06F4"/>
    <w:rsid w:val="00BF1AA2"/>
    <w:rsid w:val="00BF1D56"/>
    <w:rsid w:val="00BF25E6"/>
    <w:rsid w:val="00BF2F91"/>
    <w:rsid w:val="00BF3D28"/>
    <w:rsid w:val="00BF528A"/>
    <w:rsid w:val="00C01F05"/>
    <w:rsid w:val="00C033BE"/>
    <w:rsid w:val="00C038E3"/>
    <w:rsid w:val="00C06CCF"/>
    <w:rsid w:val="00C06EA0"/>
    <w:rsid w:val="00C11B9D"/>
    <w:rsid w:val="00C123D9"/>
    <w:rsid w:val="00C15CCF"/>
    <w:rsid w:val="00C17D0A"/>
    <w:rsid w:val="00C20814"/>
    <w:rsid w:val="00C20CD0"/>
    <w:rsid w:val="00C22879"/>
    <w:rsid w:val="00C22995"/>
    <w:rsid w:val="00C23818"/>
    <w:rsid w:val="00C24AC7"/>
    <w:rsid w:val="00C24B4B"/>
    <w:rsid w:val="00C24D0C"/>
    <w:rsid w:val="00C26146"/>
    <w:rsid w:val="00C26A4F"/>
    <w:rsid w:val="00C26B42"/>
    <w:rsid w:val="00C3183E"/>
    <w:rsid w:val="00C31CFD"/>
    <w:rsid w:val="00C31DE2"/>
    <w:rsid w:val="00C31FF7"/>
    <w:rsid w:val="00C33634"/>
    <w:rsid w:val="00C366E1"/>
    <w:rsid w:val="00C36A30"/>
    <w:rsid w:val="00C3701F"/>
    <w:rsid w:val="00C37488"/>
    <w:rsid w:val="00C37943"/>
    <w:rsid w:val="00C37CE8"/>
    <w:rsid w:val="00C41F68"/>
    <w:rsid w:val="00C42B62"/>
    <w:rsid w:val="00C430FA"/>
    <w:rsid w:val="00C50F5D"/>
    <w:rsid w:val="00C53BA4"/>
    <w:rsid w:val="00C53C4A"/>
    <w:rsid w:val="00C543A3"/>
    <w:rsid w:val="00C60AD8"/>
    <w:rsid w:val="00C61600"/>
    <w:rsid w:val="00C6373A"/>
    <w:rsid w:val="00C640B1"/>
    <w:rsid w:val="00C642AB"/>
    <w:rsid w:val="00C6504C"/>
    <w:rsid w:val="00C671EC"/>
    <w:rsid w:val="00C7086F"/>
    <w:rsid w:val="00C70D7E"/>
    <w:rsid w:val="00C70D87"/>
    <w:rsid w:val="00C70FB9"/>
    <w:rsid w:val="00C73803"/>
    <w:rsid w:val="00C746FA"/>
    <w:rsid w:val="00C76B1A"/>
    <w:rsid w:val="00C77802"/>
    <w:rsid w:val="00C77B05"/>
    <w:rsid w:val="00C812D6"/>
    <w:rsid w:val="00C823B2"/>
    <w:rsid w:val="00C83524"/>
    <w:rsid w:val="00C835B8"/>
    <w:rsid w:val="00C85F98"/>
    <w:rsid w:val="00C86F36"/>
    <w:rsid w:val="00C87189"/>
    <w:rsid w:val="00C90540"/>
    <w:rsid w:val="00C906A4"/>
    <w:rsid w:val="00C909EF"/>
    <w:rsid w:val="00C90EAA"/>
    <w:rsid w:val="00C92C30"/>
    <w:rsid w:val="00C94746"/>
    <w:rsid w:val="00C949BD"/>
    <w:rsid w:val="00C94BBC"/>
    <w:rsid w:val="00C94ECC"/>
    <w:rsid w:val="00C9588C"/>
    <w:rsid w:val="00C96F7B"/>
    <w:rsid w:val="00C971EE"/>
    <w:rsid w:val="00C9721F"/>
    <w:rsid w:val="00CA10A6"/>
    <w:rsid w:val="00CA17EB"/>
    <w:rsid w:val="00CA3388"/>
    <w:rsid w:val="00CA4331"/>
    <w:rsid w:val="00CA479A"/>
    <w:rsid w:val="00CA6481"/>
    <w:rsid w:val="00CA6E82"/>
    <w:rsid w:val="00CA6FA6"/>
    <w:rsid w:val="00CA78B7"/>
    <w:rsid w:val="00CB0743"/>
    <w:rsid w:val="00CB1ADA"/>
    <w:rsid w:val="00CB37ED"/>
    <w:rsid w:val="00CB3C85"/>
    <w:rsid w:val="00CB578D"/>
    <w:rsid w:val="00CB68FB"/>
    <w:rsid w:val="00CB6D4A"/>
    <w:rsid w:val="00CC3BF6"/>
    <w:rsid w:val="00CC44C1"/>
    <w:rsid w:val="00CC50E7"/>
    <w:rsid w:val="00CC5461"/>
    <w:rsid w:val="00CC7998"/>
    <w:rsid w:val="00CD0546"/>
    <w:rsid w:val="00CD08C2"/>
    <w:rsid w:val="00CD1932"/>
    <w:rsid w:val="00CD31B5"/>
    <w:rsid w:val="00CD4FBF"/>
    <w:rsid w:val="00CD61B4"/>
    <w:rsid w:val="00CD685D"/>
    <w:rsid w:val="00CD77D2"/>
    <w:rsid w:val="00CD7D7E"/>
    <w:rsid w:val="00CE03F2"/>
    <w:rsid w:val="00CE1535"/>
    <w:rsid w:val="00CE18EE"/>
    <w:rsid w:val="00CE2F3A"/>
    <w:rsid w:val="00CE389B"/>
    <w:rsid w:val="00CE467E"/>
    <w:rsid w:val="00CE60D7"/>
    <w:rsid w:val="00CF0131"/>
    <w:rsid w:val="00CF2495"/>
    <w:rsid w:val="00CF2B33"/>
    <w:rsid w:val="00CF3767"/>
    <w:rsid w:val="00CF3A53"/>
    <w:rsid w:val="00CF4BA5"/>
    <w:rsid w:val="00CF4DAC"/>
    <w:rsid w:val="00CF5AC8"/>
    <w:rsid w:val="00CF6F3D"/>
    <w:rsid w:val="00CF752B"/>
    <w:rsid w:val="00D00511"/>
    <w:rsid w:val="00D00612"/>
    <w:rsid w:val="00D01736"/>
    <w:rsid w:val="00D032D7"/>
    <w:rsid w:val="00D05769"/>
    <w:rsid w:val="00D05BB5"/>
    <w:rsid w:val="00D07634"/>
    <w:rsid w:val="00D12EF3"/>
    <w:rsid w:val="00D133B8"/>
    <w:rsid w:val="00D13BB0"/>
    <w:rsid w:val="00D177F3"/>
    <w:rsid w:val="00D20ECC"/>
    <w:rsid w:val="00D21B3E"/>
    <w:rsid w:val="00D22BCF"/>
    <w:rsid w:val="00D234EC"/>
    <w:rsid w:val="00D237E6"/>
    <w:rsid w:val="00D25110"/>
    <w:rsid w:val="00D25C5F"/>
    <w:rsid w:val="00D26611"/>
    <w:rsid w:val="00D2675A"/>
    <w:rsid w:val="00D32A02"/>
    <w:rsid w:val="00D33A2B"/>
    <w:rsid w:val="00D3448A"/>
    <w:rsid w:val="00D3453C"/>
    <w:rsid w:val="00D40CD5"/>
    <w:rsid w:val="00D410DE"/>
    <w:rsid w:val="00D43372"/>
    <w:rsid w:val="00D44C1D"/>
    <w:rsid w:val="00D4533F"/>
    <w:rsid w:val="00D468ED"/>
    <w:rsid w:val="00D50121"/>
    <w:rsid w:val="00D51750"/>
    <w:rsid w:val="00D52735"/>
    <w:rsid w:val="00D527A7"/>
    <w:rsid w:val="00D53357"/>
    <w:rsid w:val="00D53D1E"/>
    <w:rsid w:val="00D54C61"/>
    <w:rsid w:val="00D55ABC"/>
    <w:rsid w:val="00D55F39"/>
    <w:rsid w:val="00D55FF5"/>
    <w:rsid w:val="00D566A4"/>
    <w:rsid w:val="00D56C0F"/>
    <w:rsid w:val="00D56FCF"/>
    <w:rsid w:val="00D6395B"/>
    <w:rsid w:val="00D65D80"/>
    <w:rsid w:val="00D66169"/>
    <w:rsid w:val="00D665D3"/>
    <w:rsid w:val="00D6732E"/>
    <w:rsid w:val="00D6765D"/>
    <w:rsid w:val="00D70F53"/>
    <w:rsid w:val="00D72C62"/>
    <w:rsid w:val="00D72CA8"/>
    <w:rsid w:val="00D731E0"/>
    <w:rsid w:val="00D7330B"/>
    <w:rsid w:val="00D7362F"/>
    <w:rsid w:val="00D750E5"/>
    <w:rsid w:val="00D75B43"/>
    <w:rsid w:val="00D763E7"/>
    <w:rsid w:val="00D769AF"/>
    <w:rsid w:val="00D771AA"/>
    <w:rsid w:val="00D8290A"/>
    <w:rsid w:val="00D82B37"/>
    <w:rsid w:val="00D84850"/>
    <w:rsid w:val="00D91079"/>
    <w:rsid w:val="00D925D5"/>
    <w:rsid w:val="00D935B3"/>
    <w:rsid w:val="00D93FEB"/>
    <w:rsid w:val="00D95B17"/>
    <w:rsid w:val="00D9761C"/>
    <w:rsid w:val="00D97852"/>
    <w:rsid w:val="00DA27A7"/>
    <w:rsid w:val="00DA325F"/>
    <w:rsid w:val="00DA3431"/>
    <w:rsid w:val="00DA3A16"/>
    <w:rsid w:val="00DA6A61"/>
    <w:rsid w:val="00DA6F05"/>
    <w:rsid w:val="00DB09EE"/>
    <w:rsid w:val="00DB242C"/>
    <w:rsid w:val="00DB28A2"/>
    <w:rsid w:val="00DB2EBF"/>
    <w:rsid w:val="00DB4CF9"/>
    <w:rsid w:val="00DB578D"/>
    <w:rsid w:val="00DB5963"/>
    <w:rsid w:val="00DB6401"/>
    <w:rsid w:val="00DB754D"/>
    <w:rsid w:val="00DC4256"/>
    <w:rsid w:val="00DC54A2"/>
    <w:rsid w:val="00DC6D05"/>
    <w:rsid w:val="00DC7187"/>
    <w:rsid w:val="00DD064C"/>
    <w:rsid w:val="00DD0D6C"/>
    <w:rsid w:val="00DD11CD"/>
    <w:rsid w:val="00DD139E"/>
    <w:rsid w:val="00DD1410"/>
    <w:rsid w:val="00DD1CA7"/>
    <w:rsid w:val="00DD2944"/>
    <w:rsid w:val="00DD3580"/>
    <w:rsid w:val="00DD3864"/>
    <w:rsid w:val="00DD3FF3"/>
    <w:rsid w:val="00DD46B9"/>
    <w:rsid w:val="00DD4DAF"/>
    <w:rsid w:val="00DE1DBB"/>
    <w:rsid w:val="00DE46E6"/>
    <w:rsid w:val="00DE659B"/>
    <w:rsid w:val="00DF07B4"/>
    <w:rsid w:val="00DF1597"/>
    <w:rsid w:val="00DF181D"/>
    <w:rsid w:val="00DF20D9"/>
    <w:rsid w:val="00E00B12"/>
    <w:rsid w:val="00E00F5B"/>
    <w:rsid w:val="00E02F66"/>
    <w:rsid w:val="00E0582C"/>
    <w:rsid w:val="00E068BA"/>
    <w:rsid w:val="00E1095A"/>
    <w:rsid w:val="00E10B12"/>
    <w:rsid w:val="00E117AD"/>
    <w:rsid w:val="00E12626"/>
    <w:rsid w:val="00E12C32"/>
    <w:rsid w:val="00E13853"/>
    <w:rsid w:val="00E14105"/>
    <w:rsid w:val="00E166F9"/>
    <w:rsid w:val="00E17018"/>
    <w:rsid w:val="00E21280"/>
    <w:rsid w:val="00E21CCA"/>
    <w:rsid w:val="00E22766"/>
    <w:rsid w:val="00E22A66"/>
    <w:rsid w:val="00E27133"/>
    <w:rsid w:val="00E317E9"/>
    <w:rsid w:val="00E3434F"/>
    <w:rsid w:val="00E35249"/>
    <w:rsid w:val="00E35B06"/>
    <w:rsid w:val="00E36066"/>
    <w:rsid w:val="00E363AC"/>
    <w:rsid w:val="00E3734B"/>
    <w:rsid w:val="00E37CC2"/>
    <w:rsid w:val="00E42747"/>
    <w:rsid w:val="00E42E27"/>
    <w:rsid w:val="00E43251"/>
    <w:rsid w:val="00E4379C"/>
    <w:rsid w:val="00E46870"/>
    <w:rsid w:val="00E47A92"/>
    <w:rsid w:val="00E50FC0"/>
    <w:rsid w:val="00E51DB0"/>
    <w:rsid w:val="00E52284"/>
    <w:rsid w:val="00E533BF"/>
    <w:rsid w:val="00E56892"/>
    <w:rsid w:val="00E60EDE"/>
    <w:rsid w:val="00E6146B"/>
    <w:rsid w:val="00E633EC"/>
    <w:rsid w:val="00E63E31"/>
    <w:rsid w:val="00E64848"/>
    <w:rsid w:val="00E65906"/>
    <w:rsid w:val="00E6779B"/>
    <w:rsid w:val="00E6790F"/>
    <w:rsid w:val="00E709AB"/>
    <w:rsid w:val="00E71281"/>
    <w:rsid w:val="00E73654"/>
    <w:rsid w:val="00E73872"/>
    <w:rsid w:val="00E7456E"/>
    <w:rsid w:val="00E7597B"/>
    <w:rsid w:val="00E7698E"/>
    <w:rsid w:val="00E7740C"/>
    <w:rsid w:val="00E8160C"/>
    <w:rsid w:val="00E85872"/>
    <w:rsid w:val="00E869FF"/>
    <w:rsid w:val="00E86F5A"/>
    <w:rsid w:val="00E87864"/>
    <w:rsid w:val="00E92B02"/>
    <w:rsid w:val="00E93E4E"/>
    <w:rsid w:val="00E9574B"/>
    <w:rsid w:val="00E96426"/>
    <w:rsid w:val="00E97F1E"/>
    <w:rsid w:val="00EA0AF9"/>
    <w:rsid w:val="00EA1162"/>
    <w:rsid w:val="00EA1380"/>
    <w:rsid w:val="00EA1AE2"/>
    <w:rsid w:val="00EA2113"/>
    <w:rsid w:val="00EA251E"/>
    <w:rsid w:val="00EA547D"/>
    <w:rsid w:val="00EA6096"/>
    <w:rsid w:val="00EB02F6"/>
    <w:rsid w:val="00EB0E7B"/>
    <w:rsid w:val="00EB27D0"/>
    <w:rsid w:val="00EB35E5"/>
    <w:rsid w:val="00EB6492"/>
    <w:rsid w:val="00EB7410"/>
    <w:rsid w:val="00EC1539"/>
    <w:rsid w:val="00EC1F13"/>
    <w:rsid w:val="00EC21D3"/>
    <w:rsid w:val="00EC25AE"/>
    <w:rsid w:val="00EC28D4"/>
    <w:rsid w:val="00EC40F5"/>
    <w:rsid w:val="00EC4174"/>
    <w:rsid w:val="00EC4FC1"/>
    <w:rsid w:val="00ED0035"/>
    <w:rsid w:val="00ED1D34"/>
    <w:rsid w:val="00ED214A"/>
    <w:rsid w:val="00ED2413"/>
    <w:rsid w:val="00ED4A20"/>
    <w:rsid w:val="00ED5804"/>
    <w:rsid w:val="00ED5E5B"/>
    <w:rsid w:val="00ED75DB"/>
    <w:rsid w:val="00EE02B8"/>
    <w:rsid w:val="00EE4D68"/>
    <w:rsid w:val="00EE6506"/>
    <w:rsid w:val="00EF0437"/>
    <w:rsid w:val="00EF1FA5"/>
    <w:rsid w:val="00EF282A"/>
    <w:rsid w:val="00EF31AF"/>
    <w:rsid w:val="00EF6AA8"/>
    <w:rsid w:val="00EF6DC2"/>
    <w:rsid w:val="00F00603"/>
    <w:rsid w:val="00F01534"/>
    <w:rsid w:val="00F01BB1"/>
    <w:rsid w:val="00F01E06"/>
    <w:rsid w:val="00F032BD"/>
    <w:rsid w:val="00F03D2F"/>
    <w:rsid w:val="00F0435C"/>
    <w:rsid w:val="00F060A5"/>
    <w:rsid w:val="00F070AE"/>
    <w:rsid w:val="00F0747F"/>
    <w:rsid w:val="00F07D12"/>
    <w:rsid w:val="00F10FC9"/>
    <w:rsid w:val="00F12CD1"/>
    <w:rsid w:val="00F12D1D"/>
    <w:rsid w:val="00F137A9"/>
    <w:rsid w:val="00F13CF8"/>
    <w:rsid w:val="00F146CB"/>
    <w:rsid w:val="00F15284"/>
    <w:rsid w:val="00F1646F"/>
    <w:rsid w:val="00F164B4"/>
    <w:rsid w:val="00F16C45"/>
    <w:rsid w:val="00F1731B"/>
    <w:rsid w:val="00F17CB9"/>
    <w:rsid w:val="00F21B34"/>
    <w:rsid w:val="00F241D3"/>
    <w:rsid w:val="00F26AED"/>
    <w:rsid w:val="00F30044"/>
    <w:rsid w:val="00F30A43"/>
    <w:rsid w:val="00F322F0"/>
    <w:rsid w:val="00F34470"/>
    <w:rsid w:val="00F3478A"/>
    <w:rsid w:val="00F35ADA"/>
    <w:rsid w:val="00F35F9D"/>
    <w:rsid w:val="00F37A21"/>
    <w:rsid w:val="00F403A7"/>
    <w:rsid w:val="00F4051A"/>
    <w:rsid w:val="00F4146C"/>
    <w:rsid w:val="00F42B2E"/>
    <w:rsid w:val="00F42D53"/>
    <w:rsid w:val="00F439B4"/>
    <w:rsid w:val="00F445A8"/>
    <w:rsid w:val="00F44A12"/>
    <w:rsid w:val="00F44C3F"/>
    <w:rsid w:val="00F473E2"/>
    <w:rsid w:val="00F47FDF"/>
    <w:rsid w:val="00F50491"/>
    <w:rsid w:val="00F5050F"/>
    <w:rsid w:val="00F50B18"/>
    <w:rsid w:val="00F50BCB"/>
    <w:rsid w:val="00F50F58"/>
    <w:rsid w:val="00F512DA"/>
    <w:rsid w:val="00F51859"/>
    <w:rsid w:val="00F519DC"/>
    <w:rsid w:val="00F5240B"/>
    <w:rsid w:val="00F532E2"/>
    <w:rsid w:val="00F538F7"/>
    <w:rsid w:val="00F552B1"/>
    <w:rsid w:val="00F55FA7"/>
    <w:rsid w:val="00F578A1"/>
    <w:rsid w:val="00F607F9"/>
    <w:rsid w:val="00F60BA5"/>
    <w:rsid w:val="00F61B1E"/>
    <w:rsid w:val="00F62068"/>
    <w:rsid w:val="00F627FF"/>
    <w:rsid w:val="00F636F3"/>
    <w:rsid w:val="00F64541"/>
    <w:rsid w:val="00F64E69"/>
    <w:rsid w:val="00F660EA"/>
    <w:rsid w:val="00F675C4"/>
    <w:rsid w:val="00F679E0"/>
    <w:rsid w:val="00F73BDD"/>
    <w:rsid w:val="00F748AE"/>
    <w:rsid w:val="00F759D2"/>
    <w:rsid w:val="00F75DB4"/>
    <w:rsid w:val="00F77880"/>
    <w:rsid w:val="00F80207"/>
    <w:rsid w:val="00F8027A"/>
    <w:rsid w:val="00F803B5"/>
    <w:rsid w:val="00F80582"/>
    <w:rsid w:val="00F80E72"/>
    <w:rsid w:val="00F80F14"/>
    <w:rsid w:val="00F81100"/>
    <w:rsid w:val="00F8308A"/>
    <w:rsid w:val="00F8521A"/>
    <w:rsid w:val="00F8658C"/>
    <w:rsid w:val="00F875DD"/>
    <w:rsid w:val="00F8789C"/>
    <w:rsid w:val="00F87D0C"/>
    <w:rsid w:val="00F9031C"/>
    <w:rsid w:val="00F91140"/>
    <w:rsid w:val="00F914B7"/>
    <w:rsid w:val="00F91924"/>
    <w:rsid w:val="00F926C5"/>
    <w:rsid w:val="00F933B4"/>
    <w:rsid w:val="00F93B28"/>
    <w:rsid w:val="00F959D0"/>
    <w:rsid w:val="00F968BA"/>
    <w:rsid w:val="00FA14F4"/>
    <w:rsid w:val="00FA187B"/>
    <w:rsid w:val="00FA2A0A"/>
    <w:rsid w:val="00FA3E84"/>
    <w:rsid w:val="00FA4540"/>
    <w:rsid w:val="00FA4DFB"/>
    <w:rsid w:val="00FA56F9"/>
    <w:rsid w:val="00FA5FDE"/>
    <w:rsid w:val="00FA76F7"/>
    <w:rsid w:val="00FA7ABA"/>
    <w:rsid w:val="00FB0EDF"/>
    <w:rsid w:val="00FB1922"/>
    <w:rsid w:val="00FB1E7A"/>
    <w:rsid w:val="00FB2B6C"/>
    <w:rsid w:val="00FB2EE6"/>
    <w:rsid w:val="00FB322B"/>
    <w:rsid w:val="00FB6499"/>
    <w:rsid w:val="00FB7210"/>
    <w:rsid w:val="00FC008B"/>
    <w:rsid w:val="00FC1EEF"/>
    <w:rsid w:val="00FC443B"/>
    <w:rsid w:val="00FC6236"/>
    <w:rsid w:val="00FC68E3"/>
    <w:rsid w:val="00FC6964"/>
    <w:rsid w:val="00FC69DE"/>
    <w:rsid w:val="00FC6DBB"/>
    <w:rsid w:val="00FC7614"/>
    <w:rsid w:val="00FC798B"/>
    <w:rsid w:val="00FC7B06"/>
    <w:rsid w:val="00FD1C81"/>
    <w:rsid w:val="00FD26A2"/>
    <w:rsid w:val="00FD2932"/>
    <w:rsid w:val="00FD2A76"/>
    <w:rsid w:val="00FD2ABC"/>
    <w:rsid w:val="00FD6132"/>
    <w:rsid w:val="00FD6145"/>
    <w:rsid w:val="00FD7212"/>
    <w:rsid w:val="00FD743A"/>
    <w:rsid w:val="00FD780A"/>
    <w:rsid w:val="00FE1ABE"/>
    <w:rsid w:val="00FE1AE2"/>
    <w:rsid w:val="00FE1E42"/>
    <w:rsid w:val="00FE2A44"/>
    <w:rsid w:val="00FE2F9F"/>
    <w:rsid w:val="00FE34D8"/>
    <w:rsid w:val="00FE4039"/>
    <w:rsid w:val="00FE54A7"/>
    <w:rsid w:val="00FE6318"/>
    <w:rsid w:val="00FE7E74"/>
    <w:rsid w:val="00FF1E4D"/>
    <w:rsid w:val="00FF39EC"/>
    <w:rsid w:val="00FF48A1"/>
    <w:rsid w:val="00FF49A1"/>
    <w:rsid w:val="00FF5529"/>
    <w:rsid w:val="00FF664B"/>
    <w:rsid w:val="06934EE2"/>
    <w:rsid w:val="06CF2124"/>
    <w:rsid w:val="08BF012C"/>
    <w:rsid w:val="08D13B76"/>
    <w:rsid w:val="0B854FFF"/>
    <w:rsid w:val="10244677"/>
    <w:rsid w:val="10D86C5E"/>
    <w:rsid w:val="12481262"/>
    <w:rsid w:val="18670E57"/>
    <w:rsid w:val="199B1A0E"/>
    <w:rsid w:val="19CB7960"/>
    <w:rsid w:val="1A865C64"/>
    <w:rsid w:val="1ACE2ABC"/>
    <w:rsid w:val="1BD64F3B"/>
    <w:rsid w:val="1C885C64"/>
    <w:rsid w:val="269901AA"/>
    <w:rsid w:val="28EA02F5"/>
    <w:rsid w:val="296368F3"/>
    <w:rsid w:val="2A844D4F"/>
    <w:rsid w:val="2D225D5F"/>
    <w:rsid w:val="30130306"/>
    <w:rsid w:val="314C194A"/>
    <w:rsid w:val="336D3721"/>
    <w:rsid w:val="3A281FF3"/>
    <w:rsid w:val="3B171421"/>
    <w:rsid w:val="3CBA69AE"/>
    <w:rsid w:val="3DD512CE"/>
    <w:rsid w:val="3F132349"/>
    <w:rsid w:val="3F577F59"/>
    <w:rsid w:val="43641E53"/>
    <w:rsid w:val="44E345A4"/>
    <w:rsid w:val="4C471752"/>
    <w:rsid w:val="4DC86B3E"/>
    <w:rsid w:val="4F8B3490"/>
    <w:rsid w:val="51635294"/>
    <w:rsid w:val="54497256"/>
    <w:rsid w:val="546A4D6A"/>
    <w:rsid w:val="54C84B15"/>
    <w:rsid w:val="552A4D88"/>
    <w:rsid w:val="57553FA0"/>
    <w:rsid w:val="576A3375"/>
    <w:rsid w:val="59B54271"/>
    <w:rsid w:val="59D03BAF"/>
    <w:rsid w:val="5D6D31E2"/>
    <w:rsid w:val="5DF20031"/>
    <w:rsid w:val="5E283655"/>
    <w:rsid w:val="5FE57937"/>
    <w:rsid w:val="65430D2D"/>
    <w:rsid w:val="68505914"/>
    <w:rsid w:val="69F11D85"/>
    <w:rsid w:val="6DAB1D87"/>
    <w:rsid w:val="71FE635B"/>
    <w:rsid w:val="72371937"/>
    <w:rsid w:val="73785559"/>
    <w:rsid w:val="74370219"/>
    <w:rsid w:val="745820F0"/>
    <w:rsid w:val="7B825183"/>
    <w:rsid w:val="7BFC6319"/>
    <w:rsid w:val="7C024E24"/>
    <w:rsid w:val="7D2D3DED"/>
    <w:rsid w:val="7DFA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黑体"/>
      <w:kern w:val="2"/>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0"/>
    <w:pPr>
      <w:keepNext/>
      <w:keepLines/>
      <w:spacing w:before="260" w:after="260" w:line="415" w:lineRule="auto"/>
      <w:outlineLvl w:val="1"/>
    </w:pPr>
    <w:rPr>
      <w:rFonts w:ascii="Calibri Light" w:hAnsi="Calibri Light" w:eastAsia="黑体"/>
      <w:b/>
      <w:bCs/>
      <w:szCs w:val="32"/>
    </w:rPr>
  </w:style>
  <w:style w:type="paragraph" w:styleId="5">
    <w:name w:val="heading 3"/>
    <w:basedOn w:val="1"/>
    <w:next w:val="1"/>
    <w:link w:val="39"/>
    <w:unhideWhenUsed/>
    <w:qFormat/>
    <w:uiPriority w:val="0"/>
    <w:pPr>
      <w:keepNext/>
      <w:keepLines/>
      <w:spacing w:before="260" w:after="260" w:line="416" w:lineRule="auto"/>
      <w:outlineLvl w:val="2"/>
    </w:pPr>
    <w:rPr>
      <w:b/>
      <w:bCs/>
      <w:sz w:val="30"/>
      <w:szCs w:val="32"/>
    </w:rPr>
  </w:style>
  <w:style w:type="character" w:default="1" w:styleId="19">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Normal Indent"/>
    <w:basedOn w:val="1"/>
    <w:qFormat/>
    <w:uiPriority w:val="0"/>
    <w:pPr>
      <w:ind w:firstLine="420"/>
    </w:pPr>
  </w:style>
  <w:style w:type="paragraph" w:styleId="7">
    <w:name w:val="annotation text"/>
    <w:basedOn w:val="1"/>
    <w:link w:val="40"/>
    <w:qFormat/>
    <w:uiPriority w:val="0"/>
    <w:pPr>
      <w:jc w:val="left"/>
    </w:pPr>
  </w:style>
  <w:style w:type="paragraph" w:styleId="8">
    <w:name w:val="Body Text"/>
    <w:basedOn w:val="1"/>
    <w:next w:val="1"/>
    <w:link w:val="43"/>
    <w:unhideWhenUsed/>
    <w:uiPriority w:val="99"/>
    <w:pPr>
      <w:ind w:firstLine="0" w:firstLineChars="0"/>
    </w:pPr>
    <w:rPr>
      <w:rFonts w:cs="Times New Roman"/>
      <w:szCs w:val="20"/>
    </w:rPr>
  </w:style>
  <w:style w:type="paragraph" w:styleId="9">
    <w:name w:val="toc 3"/>
    <w:basedOn w:val="1"/>
    <w:next w:val="1"/>
    <w:unhideWhenUsed/>
    <w:qFormat/>
    <w:uiPriority w:val="39"/>
    <w:pPr>
      <w:ind w:left="840" w:leftChars="400"/>
    </w:pPr>
  </w:style>
  <w:style w:type="paragraph" w:styleId="10">
    <w:name w:val="Balloon Text"/>
    <w:basedOn w:val="1"/>
    <w:link w:val="36"/>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2"/>
    <w:uiPriority w:val="0"/>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6">
    <w:name w:val="Title"/>
    <w:basedOn w:val="1"/>
    <w:next w:val="1"/>
    <w:link w:val="37"/>
    <w:qFormat/>
    <w:uiPriority w:val="0"/>
    <w:pPr>
      <w:spacing w:before="240" w:after="60"/>
      <w:ind w:firstLine="0" w:firstLineChars="0"/>
      <w:jc w:val="center"/>
      <w:outlineLvl w:val="0"/>
    </w:pPr>
    <w:rPr>
      <w:rFonts w:ascii="Calibri Light" w:hAnsi="Calibri Light" w:eastAsia="黑体"/>
      <w:b/>
      <w:bCs/>
      <w:sz w:val="44"/>
      <w:szCs w:val="32"/>
    </w:rPr>
  </w:style>
  <w:style w:type="paragraph" w:styleId="17">
    <w:name w:val="annotation subject"/>
    <w:basedOn w:val="7"/>
    <w:next w:val="7"/>
    <w:link w:val="41"/>
    <w:uiPriority w:val="0"/>
    <w:rPr>
      <w:b/>
      <w:bCs/>
    </w:rPr>
  </w:style>
  <w:style w:type="character" w:styleId="20">
    <w:name w:val="Emphasis"/>
    <w:basedOn w:val="19"/>
    <w:qFormat/>
    <w:uiPriority w:val="20"/>
    <w:rPr>
      <w:i/>
      <w:iCs/>
    </w:rPr>
  </w:style>
  <w:style w:type="character" w:styleId="21">
    <w:name w:val="Hyperlink"/>
    <w:basedOn w:val="19"/>
    <w:unhideWhenUsed/>
    <w:qFormat/>
    <w:uiPriority w:val="99"/>
    <w:rPr>
      <w:color w:val="0000FF"/>
      <w:u w:val="single"/>
    </w:rPr>
  </w:style>
  <w:style w:type="character" w:styleId="22">
    <w:name w:val="annotation reference"/>
    <w:basedOn w:val="19"/>
    <w:uiPriority w:val="0"/>
    <w:rPr>
      <w:sz w:val="21"/>
      <w:szCs w:val="21"/>
    </w:rPr>
  </w:style>
  <w:style w:type="character" w:styleId="23">
    <w:name w:val="footnote reference"/>
    <w:basedOn w:val="19"/>
    <w:uiPriority w:val="0"/>
    <w:rPr>
      <w:vertAlign w:val="superscript"/>
    </w:rPr>
  </w:style>
  <w:style w:type="paragraph" w:customStyle="1" w:styleId="24">
    <w:name w:val="TOC 标题1"/>
    <w:basedOn w:val="3"/>
    <w:next w:val="1"/>
    <w:unhideWhenUsed/>
    <w:qFormat/>
    <w:uiPriority w:val="39"/>
    <w:pPr>
      <w:widowControl/>
      <w:spacing w:before="240" w:after="0" w:line="259" w:lineRule="auto"/>
      <w:jc w:val="left"/>
      <w:outlineLvl w:val="9"/>
    </w:pPr>
    <w:rPr>
      <w:rFonts w:ascii="Calibri Light" w:hAnsi="Calibri Light" w:eastAsia="宋体"/>
      <w:b w:val="0"/>
      <w:bCs w:val="0"/>
      <w:color w:val="2D73B3"/>
      <w:kern w:val="0"/>
      <w:sz w:val="32"/>
      <w:szCs w:val="32"/>
    </w:rPr>
  </w:style>
  <w:style w:type="paragraph" w:customStyle="1" w:styleId="25">
    <w:name w:val="TOC 标题2"/>
    <w:basedOn w:val="3"/>
    <w:next w:val="1"/>
    <w:unhideWhenUsed/>
    <w:qFormat/>
    <w:uiPriority w:val="39"/>
    <w:pPr>
      <w:widowControl/>
      <w:spacing w:before="240" w:after="0" w:line="259" w:lineRule="auto"/>
      <w:ind w:firstLine="0" w:firstLineChars="0"/>
      <w:jc w:val="left"/>
      <w:outlineLvl w:val="9"/>
    </w:pPr>
    <w:rPr>
      <w:rFonts w:ascii="Calibri Light" w:hAnsi="Calibri Light" w:eastAsia="宋体"/>
      <w:b w:val="0"/>
      <w:bCs w:val="0"/>
      <w:color w:val="2D73B3"/>
      <w:kern w:val="0"/>
      <w:sz w:val="32"/>
      <w:szCs w:val="32"/>
    </w:rPr>
  </w:style>
  <w:style w:type="paragraph" w:customStyle="1" w:styleId="26">
    <w:name w:val="列表段落1"/>
    <w:basedOn w:val="1"/>
    <w:qFormat/>
    <w:uiPriority w:val="34"/>
    <w:pPr>
      <w:ind w:firstLine="420"/>
    </w:pPr>
  </w:style>
  <w:style w:type="paragraph" w:customStyle="1" w:styleId="27">
    <w:name w:val="TOC 标题3"/>
    <w:basedOn w:val="3"/>
    <w:next w:val="1"/>
    <w:unhideWhenUsed/>
    <w:qFormat/>
    <w:uiPriority w:val="39"/>
    <w:pPr>
      <w:widowControl/>
      <w:spacing w:before="240" w:after="0" w:line="259" w:lineRule="auto"/>
      <w:ind w:firstLine="0" w:firstLineChars="0"/>
      <w:jc w:val="left"/>
      <w:outlineLvl w:val="9"/>
    </w:pPr>
    <w:rPr>
      <w:rFonts w:ascii="Calibri Light" w:hAnsi="Calibri Light" w:eastAsia="宋体"/>
      <w:b w:val="0"/>
      <w:bCs w:val="0"/>
      <w:color w:val="2D73B3"/>
      <w:kern w:val="0"/>
      <w:sz w:val="32"/>
      <w:szCs w:val="32"/>
    </w:rPr>
  </w:style>
  <w:style w:type="paragraph" w:customStyle="1" w:styleId="28">
    <w:name w:val="修订1"/>
    <w:hidden/>
    <w:semiHidden/>
    <w:uiPriority w:val="99"/>
    <w:rPr>
      <w:rFonts w:ascii="Calibri" w:hAnsi="Calibri" w:eastAsia="仿宋" w:cs="黑体"/>
      <w:kern w:val="2"/>
      <w:sz w:val="36"/>
      <w:szCs w:val="22"/>
      <w:lang w:val="en-US" w:eastAsia="zh-CN" w:bidi="ar-SA"/>
    </w:rPr>
  </w:style>
  <w:style w:type="paragraph" w:customStyle="1" w:styleId="29">
    <w:name w:val="Char Char4 Char Char"/>
    <w:basedOn w:val="1"/>
    <w:uiPriority w:val="0"/>
    <w:pPr>
      <w:widowControl/>
      <w:spacing w:line="300" w:lineRule="auto"/>
    </w:pPr>
    <w:rPr>
      <w:rFonts w:eastAsia="宋体" w:cs="Times New Roman"/>
      <w:sz w:val="21"/>
      <w:szCs w:val="20"/>
    </w:rPr>
  </w:style>
  <w:style w:type="paragraph" w:customStyle="1" w:styleId="30">
    <w:name w:val="Char Char4 Char Char1"/>
    <w:basedOn w:val="1"/>
    <w:uiPriority w:val="0"/>
    <w:pPr>
      <w:widowControl/>
      <w:spacing w:line="300" w:lineRule="auto"/>
    </w:pPr>
    <w:rPr>
      <w:rFonts w:eastAsia="宋体" w:cs="Times New Roman"/>
      <w:sz w:val="21"/>
      <w:szCs w:val="20"/>
    </w:rPr>
  </w:style>
  <w:style w:type="paragraph" w:customStyle="1" w:styleId="31">
    <w:name w:val="修订2"/>
    <w:hidden/>
    <w:semiHidden/>
    <w:uiPriority w:val="99"/>
    <w:rPr>
      <w:rFonts w:ascii="Calibri" w:hAnsi="Calibri" w:eastAsia="仿宋" w:cs="黑体"/>
      <w:kern w:val="2"/>
      <w:sz w:val="36"/>
      <w:szCs w:val="22"/>
      <w:lang w:val="en-US" w:eastAsia="zh-CN" w:bidi="ar-SA"/>
    </w:rPr>
  </w:style>
  <w:style w:type="paragraph" w:customStyle="1" w:styleId="32">
    <w:name w:val="修订3"/>
    <w:hidden/>
    <w:semiHidden/>
    <w:uiPriority w:val="99"/>
    <w:rPr>
      <w:rFonts w:ascii="Calibri" w:hAnsi="Calibri" w:eastAsia="仿宋" w:cs="黑体"/>
      <w:kern w:val="2"/>
      <w:sz w:val="36"/>
      <w:szCs w:val="22"/>
      <w:lang w:val="en-US" w:eastAsia="zh-CN" w:bidi="ar-SA"/>
    </w:rPr>
  </w:style>
  <w:style w:type="paragraph" w:customStyle="1" w:styleId="33">
    <w:name w:val="修订4"/>
    <w:hidden/>
    <w:semiHidden/>
    <w:uiPriority w:val="99"/>
    <w:rPr>
      <w:rFonts w:ascii="Times New Roman" w:hAnsi="Times New Roman" w:eastAsia="仿宋_GB2312" w:cs="黑体"/>
      <w:kern w:val="2"/>
      <w:sz w:val="32"/>
      <w:szCs w:val="22"/>
      <w:lang w:val="en-US" w:eastAsia="zh-CN" w:bidi="ar-SA"/>
    </w:rPr>
  </w:style>
  <w:style w:type="character" w:customStyle="1" w:styleId="34">
    <w:name w:val="页眉 字符"/>
    <w:basedOn w:val="19"/>
    <w:link w:val="12"/>
    <w:qFormat/>
    <w:uiPriority w:val="99"/>
    <w:rPr>
      <w:rFonts w:ascii="Calibri" w:hAnsi="Calibri" w:eastAsia="宋体" w:cs="黑体"/>
      <w:kern w:val="2"/>
      <w:sz w:val="18"/>
      <w:szCs w:val="18"/>
    </w:rPr>
  </w:style>
  <w:style w:type="character" w:customStyle="1" w:styleId="35">
    <w:name w:val="页脚 字符"/>
    <w:basedOn w:val="19"/>
    <w:link w:val="11"/>
    <w:qFormat/>
    <w:uiPriority w:val="99"/>
    <w:rPr>
      <w:rFonts w:ascii="Calibri" w:hAnsi="Calibri" w:eastAsia="宋体" w:cs="黑体"/>
      <w:kern w:val="2"/>
      <w:sz w:val="18"/>
      <w:szCs w:val="18"/>
    </w:rPr>
  </w:style>
  <w:style w:type="character" w:customStyle="1" w:styleId="36">
    <w:name w:val="批注框文本 字符"/>
    <w:basedOn w:val="19"/>
    <w:link w:val="10"/>
    <w:qFormat/>
    <w:uiPriority w:val="0"/>
    <w:rPr>
      <w:rFonts w:ascii="Calibri" w:hAnsi="Calibri" w:eastAsia="宋体" w:cs="黑体"/>
      <w:kern w:val="2"/>
      <w:sz w:val="18"/>
      <w:szCs w:val="18"/>
    </w:rPr>
  </w:style>
  <w:style w:type="character" w:customStyle="1" w:styleId="37">
    <w:name w:val="标题 字符"/>
    <w:basedOn w:val="19"/>
    <w:link w:val="16"/>
    <w:qFormat/>
    <w:uiPriority w:val="0"/>
    <w:rPr>
      <w:rFonts w:ascii="Calibri Light" w:hAnsi="Calibri Light" w:eastAsia="黑体" w:cs="黑体"/>
      <w:b/>
      <w:bCs/>
      <w:kern w:val="2"/>
      <w:sz w:val="44"/>
      <w:szCs w:val="32"/>
    </w:rPr>
  </w:style>
  <w:style w:type="character" w:customStyle="1" w:styleId="38">
    <w:name w:val="标题 2 字符"/>
    <w:basedOn w:val="19"/>
    <w:link w:val="4"/>
    <w:qFormat/>
    <w:uiPriority w:val="0"/>
    <w:rPr>
      <w:rFonts w:ascii="Calibri Light" w:hAnsi="Calibri Light" w:eastAsia="黑体" w:cs="黑体"/>
      <w:b/>
      <w:bCs/>
      <w:kern w:val="2"/>
      <w:sz w:val="32"/>
      <w:szCs w:val="32"/>
    </w:rPr>
  </w:style>
  <w:style w:type="character" w:customStyle="1" w:styleId="39">
    <w:name w:val="标题 3 字符"/>
    <w:basedOn w:val="19"/>
    <w:link w:val="5"/>
    <w:qFormat/>
    <w:uiPriority w:val="0"/>
    <w:rPr>
      <w:rFonts w:ascii="Calibri" w:hAnsi="Calibri" w:eastAsia="仿宋" w:cs="黑体"/>
      <w:b/>
      <w:bCs/>
      <w:kern w:val="2"/>
      <w:sz w:val="30"/>
      <w:szCs w:val="32"/>
    </w:rPr>
  </w:style>
  <w:style w:type="character" w:customStyle="1" w:styleId="40">
    <w:name w:val="批注文字 字符"/>
    <w:basedOn w:val="19"/>
    <w:link w:val="7"/>
    <w:uiPriority w:val="0"/>
    <w:rPr>
      <w:rFonts w:eastAsia="仿宋"/>
      <w:kern w:val="2"/>
      <w:sz w:val="36"/>
      <w:szCs w:val="22"/>
    </w:rPr>
  </w:style>
  <w:style w:type="character" w:customStyle="1" w:styleId="41">
    <w:name w:val="批注主题 字符"/>
    <w:basedOn w:val="40"/>
    <w:link w:val="17"/>
    <w:uiPriority w:val="0"/>
    <w:rPr>
      <w:rFonts w:eastAsia="仿宋"/>
      <w:b/>
      <w:bCs/>
      <w:kern w:val="2"/>
      <w:sz w:val="36"/>
      <w:szCs w:val="22"/>
    </w:rPr>
  </w:style>
  <w:style w:type="character" w:customStyle="1" w:styleId="42">
    <w:name w:val="脚注文本 字符"/>
    <w:basedOn w:val="19"/>
    <w:link w:val="13"/>
    <w:uiPriority w:val="0"/>
    <w:rPr>
      <w:rFonts w:eastAsia="仿宋"/>
      <w:kern w:val="2"/>
      <w:sz w:val="18"/>
      <w:szCs w:val="18"/>
    </w:rPr>
  </w:style>
  <w:style w:type="character" w:customStyle="1" w:styleId="43">
    <w:name w:val="正文文本 字符"/>
    <w:basedOn w:val="19"/>
    <w:link w:val="8"/>
    <w:uiPriority w:val="99"/>
    <w:rPr>
      <w:rFonts w:ascii="Times New Roman" w:hAnsi="Times New Roman" w:eastAsia="仿宋_GB2312" w:cs="Times New Roman"/>
      <w:kern w:val="2"/>
      <w:sz w:val="32"/>
    </w:rPr>
  </w:style>
  <w:style w:type="paragraph" w:customStyle="1" w:styleId="44">
    <w:name w:val="Revision"/>
    <w:hidden/>
    <w:semiHidden/>
    <w:uiPriority w:val="99"/>
    <w:rPr>
      <w:rFonts w:ascii="Times New Roman" w:hAnsi="Times New Roman" w:eastAsia="仿宋_GB2312"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17F14-D32D-4028-8527-577993DD4B48}">
  <ds:schemaRefs/>
</ds:datastoreItem>
</file>

<file path=docProps/app.xml><?xml version="1.0" encoding="utf-8"?>
<Properties xmlns="http://schemas.openxmlformats.org/officeDocument/2006/extended-properties" xmlns:vt="http://schemas.openxmlformats.org/officeDocument/2006/docPropsVTypes">
  <Template>Normal</Template>
  <Pages>47</Pages>
  <Words>3996</Words>
  <Characters>22781</Characters>
  <Lines>189</Lines>
  <Paragraphs>53</Paragraphs>
  <TotalTime>0</TotalTime>
  <ScaleCrop>false</ScaleCrop>
  <LinksUpToDate>false</LinksUpToDate>
  <CharactersWithSpaces>26724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2021-12-25T16:18:00Z</dcterms:created>
  <dc:creator>董亭月</dc:creator>
  <cp:lastModifiedBy>月</cp:lastModifiedBy>
  <cp:lastPrinted>2022-02-10T09:19:00Z</cp:lastPrinted>
  <dcterms:modified xsi:type="dcterms:W3CDTF">2022-07-13T01:44:17Z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98C04212B7C3432CB0A31B3C86E5BBF3</vt:lpwstr>
  </property>
</Properties>
</file>