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shape style="position:absolute;margin-left:14.089746pt;margin-top:401.397156pt;width:576pt;height:48pt;mso-position-horizontal-relative:page;mso-position-vertical-relative:page;z-index:-2520913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9"/>
        </w:rPr>
      </w:pPr>
    </w:p>
    <w:p>
      <w:pPr>
        <w:spacing w:line="1488" w:lineRule="exact" w:before="0"/>
        <w:ind w:left="413" w:right="1759" w:firstLine="0"/>
        <w:jc w:val="center"/>
        <w:rPr>
          <w:rFonts w:ascii="方正小标宋简体" w:eastAsia="方正小标宋简体" w:hint="eastAsia"/>
          <w:sz w:val="96"/>
        </w:rPr>
      </w:pPr>
      <w:r>
        <w:rPr>
          <w:rFonts w:ascii="方正小标宋简体" w:eastAsia="方正小标宋简体" w:hint="eastAsia"/>
          <w:color w:val="FF0000"/>
          <w:w w:val="70"/>
          <w:sz w:val="96"/>
        </w:rPr>
        <w:t>北京市大兴区人民政府文件</w:t>
      </w:r>
    </w:p>
    <w:p>
      <w:pPr>
        <w:pStyle w:val="BodyText"/>
        <w:ind w:left="0"/>
        <w:rPr>
          <w:rFonts w:ascii="方正小标宋简体"/>
          <w:sz w:val="62"/>
        </w:rPr>
      </w:pPr>
    </w:p>
    <w:p>
      <w:pPr>
        <w:pStyle w:val="BodyText"/>
        <w:ind w:left="413" w:right="1772"/>
        <w:jc w:val="center"/>
      </w:pPr>
      <w:r>
        <w:rPr/>
        <w:pict>
          <v:shape style="position:absolute;margin-left:77.548988pt;margin-top:24.798607pt;width:431.25pt;height:.1pt;mso-position-horizontal-relative:page;mso-position-vertical-relative:paragraph;z-index:-251658240;mso-wrap-distance-left:0;mso-wrap-distance-right:0" coordorigin="1551,496" coordsize="8625,0" path="m1551,496l10176,496e" filled="false" stroked="true" strokeweight="1.428638pt" strokecolor="#ff0000">
            <v:path arrowok="t"/>
            <v:stroke dashstyle="solid"/>
            <w10:wrap type="topAndBottom"/>
          </v:shape>
        </w:pict>
      </w:r>
      <w:r>
        <w:rPr/>
        <w:t>京兴政发〔2022〕18 号</w:t>
      </w:r>
    </w:p>
    <w:p>
      <w:pPr>
        <w:pStyle w:val="BodyText"/>
        <w:ind w:left="0"/>
      </w:pPr>
    </w:p>
    <w:p>
      <w:pPr>
        <w:pStyle w:val="BodyText"/>
        <w:spacing w:before="7"/>
        <w:ind w:left="0"/>
        <w:rPr>
          <w:sz w:val="44"/>
        </w:rPr>
      </w:pPr>
    </w:p>
    <w:p>
      <w:pPr>
        <w:pStyle w:val="Heading1"/>
        <w:spacing w:line="669" w:lineRule="exact"/>
      </w:pPr>
      <w:r>
        <w:rPr/>
        <w:t>北京市大兴区人民政府关于</w:t>
      </w:r>
    </w:p>
    <w:p>
      <w:pPr>
        <w:spacing w:line="172" w:lineRule="auto" w:before="37"/>
        <w:ind w:left="413" w:right="1773" w:firstLine="0"/>
        <w:jc w:val="center"/>
        <w:rPr>
          <w:rFonts w:ascii="方正小标宋简体" w:eastAsia="方正小标宋简体" w:hint="eastAsia"/>
          <w:sz w:val="44"/>
        </w:rPr>
      </w:pPr>
      <w:r>
        <w:rPr>
          <w:rFonts w:ascii="方正小标宋简体" w:eastAsia="方正小标宋简体" w:hint="eastAsia"/>
          <w:spacing w:val="-1"/>
          <w:sz w:val="44"/>
        </w:rPr>
        <w:t>印发《北京市大兴区人民政府重大行政决策</w:t>
      </w:r>
      <w:r>
        <w:rPr>
          <w:rFonts w:ascii="方正小标宋简体" w:eastAsia="方正小标宋简体" w:hint="eastAsia"/>
          <w:sz w:val="44"/>
        </w:rPr>
        <w:t>程序实施细则(试行</w:t>
      </w:r>
      <w:r>
        <w:rPr>
          <w:rFonts w:ascii="方正小标宋简体" w:eastAsia="方正小标宋简体" w:hint="eastAsia"/>
          <w:spacing w:val="-221"/>
          <w:sz w:val="44"/>
        </w:rPr>
        <w:t>）</w:t>
      </w:r>
      <w:r>
        <w:rPr>
          <w:rFonts w:ascii="方正小标宋简体" w:eastAsia="方正小标宋简体" w:hint="eastAsia"/>
          <w:sz w:val="44"/>
        </w:rPr>
        <w:t>》的通知</w:t>
      </w:r>
    </w:p>
    <w:p>
      <w:pPr>
        <w:pStyle w:val="BodyText"/>
        <w:spacing w:before="17"/>
        <w:ind w:left="0"/>
        <w:rPr>
          <w:rFonts w:ascii="方正小标宋简体"/>
        </w:rPr>
      </w:pPr>
    </w:p>
    <w:p>
      <w:pPr>
        <w:pStyle w:val="BodyText"/>
        <w:spacing w:line="316" w:lineRule="auto"/>
        <w:ind w:right="1472"/>
      </w:pPr>
      <w:r>
        <w:rPr>
          <w:spacing w:val="5"/>
          <w:w w:val="95"/>
        </w:rPr>
        <w:t>各镇人民政府，区政府各委、办、局</w:t>
      </w:r>
      <w:r>
        <w:rPr>
          <w:spacing w:val="7"/>
          <w:w w:val="95"/>
        </w:rPr>
        <w:t>（</w:t>
      </w:r>
      <w:r>
        <w:rPr>
          <w:spacing w:val="5"/>
          <w:w w:val="95"/>
        </w:rPr>
        <w:t>公司</w:t>
      </w:r>
      <w:r>
        <w:rPr>
          <w:spacing w:val="-154"/>
          <w:w w:val="95"/>
        </w:rPr>
        <w:t>）</w:t>
      </w:r>
      <w:r>
        <w:rPr>
          <w:spacing w:val="4"/>
          <w:w w:val="95"/>
        </w:rPr>
        <w:t>、中心，各街道办 </w:t>
      </w:r>
      <w:r>
        <w:rPr>
          <w:spacing w:val="4"/>
        </w:rPr>
        <w:t>事处</w:t>
      </w:r>
    </w:p>
    <w:p>
      <w:pPr>
        <w:pStyle w:val="BodyText"/>
        <w:spacing w:line="316" w:lineRule="auto"/>
        <w:ind w:right="1471" w:firstLine="640"/>
        <w:jc w:val="both"/>
      </w:pPr>
      <w:r>
        <w:rPr>
          <w:spacing w:val="17"/>
          <w:w w:val="95"/>
        </w:rPr>
        <w:t>《北京市大兴区人民政府重大行政决策程序实施细则(试 </w:t>
      </w:r>
      <w:r>
        <w:rPr>
          <w:spacing w:val="17"/>
        </w:rPr>
        <w:t>行</w:t>
      </w:r>
      <w:r>
        <w:rPr>
          <w:spacing w:val="-159"/>
        </w:rPr>
        <w:t>）</w:t>
      </w:r>
      <w:r>
        <w:rPr>
          <w:spacing w:val="-21"/>
        </w:rPr>
        <w:t>》已经 </w:t>
      </w:r>
      <w:r>
        <w:rPr/>
        <w:t>2022</w:t>
      </w:r>
      <w:r>
        <w:rPr>
          <w:spacing w:val="-54"/>
        </w:rPr>
        <w:t> 年 </w:t>
      </w:r>
      <w:r>
        <w:rPr/>
        <w:t>9</w:t>
      </w:r>
      <w:r>
        <w:rPr>
          <w:spacing w:val="-55"/>
        </w:rPr>
        <w:t> 月 </w:t>
      </w:r>
      <w:r>
        <w:rPr/>
        <w:t>29</w:t>
      </w:r>
      <w:r>
        <w:rPr>
          <w:spacing w:val="-41"/>
        </w:rPr>
        <w:t> 日第 </w:t>
      </w:r>
      <w:r>
        <w:rPr/>
        <w:t>16</w:t>
      </w:r>
      <w:r>
        <w:rPr>
          <w:spacing w:val="-10"/>
        </w:rPr>
        <w:t> 次区政府常务会议讨论通过， 现印发给你们，请认真贯彻执行。</w:t>
      </w:r>
    </w:p>
    <w:p>
      <w:pPr>
        <w:pStyle w:val="BodyText"/>
        <w:ind w:left="0"/>
        <w:rPr>
          <w:sz w:val="20"/>
        </w:rPr>
      </w:pPr>
    </w:p>
    <w:p>
      <w:pPr>
        <w:pStyle w:val="BodyText"/>
        <w:spacing w:before="3"/>
        <w:ind w:left="0"/>
        <w:rPr>
          <w:sz w:val="20"/>
        </w:rPr>
      </w:pPr>
    </w:p>
    <w:p>
      <w:pPr>
        <w:pStyle w:val="BodyText"/>
        <w:spacing w:line="328" w:lineRule="auto" w:before="54"/>
        <w:ind w:left="5191" w:right="2513" w:hanging="360"/>
      </w:pPr>
      <w:r>
        <w:rPr>
          <w:spacing w:val="-2"/>
        </w:rPr>
        <w:t>北京市大兴区人民政府</w:t>
      </w:r>
      <w:r>
        <w:rPr/>
        <w:t>2022</w:t>
      </w:r>
      <w:r>
        <w:rPr>
          <w:spacing w:val="-54"/>
        </w:rPr>
        <w:t> 年 </w:t>
      </w:r>
      <w:r>
        <w:rPr/>
        <w:t>10</w:t>
      </w:r>
      <w:r>
        <w:rPr>
          <w:spacing w:val="-55"/>
        </w:rPr>
        <w:t> 月 </w:t>
      </w:r>
      <w:r>
        <w:rPr/>
        <w:t>18</w:t>
      </w:r>
      <w:r>
        <w:rPr>
          <w:spacing w:val="-40"/>
        </w:rPr>
        <w:t> 日</w:t>
      </w:r>
    </w:p>
    <w:p>
      <w:pPr>
        <w:pStyle w:val="BodyText"/>
        <w:spacing w:line="407" w:lineRule="exact"/>
        <w:ind w:left="754"/>
      </w:pPr>
      <w:r>
        <w:rPr/>
        <w:t>(此件主动公开）</w:t>
      </w:r>
    </w:p>
    <w:p>
      <w:pPr>
        <w:spacing w:after="0" w:line="407" w:lineRule="exact"/>
        <w:sectPr>
          <w:footerReference w:type="default" r:id="rId5"/>
          <w:type w:val="continuous"/>
          <w:pgSz w:w="11910" w:h="16840"/>
          <w:pgMar w:footer="972" w:top="1580" w:bottom="1160" w:left="1360" w:right="0"/>
          <w:pgNumType w:start="1"/>
        </w:sectPr>
      </w:pPr>
    </w:p>
    <w:p>
      <w:pPr>
        <w:pStyle w:val="Heading1"/>
        <w:spacing w:line="184" w:lineRule="auto" w:before="56"/>
        <w:ind w:left="631" w:right="1993"/>
      </w:pPr>
      <w:r>
        <w:rPr/>
        <w:pict>
          <v:shape style="position:absolute;margin-left:14.089746pt;margin-top:401.397156pt;width:576pt;height:48pt;mso-position-horizontal-relative:page;mso-position-vertical-relative:page;z-index:-25209036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北京市大兴区人民政府重大行政决策程序实施细则(试行）</w:t>
      </w:r>
    </w:p>
    <w:p>
      <w:pPr>
        <w:pStyle w:val="BodyText"/>
        <w:spacing w:before="14"/>
        <w:ind w:left="0"/>
        <w:rPr>
          <w:rFonts w:ascii="方正小标宋简体"/>
          <w:sz w:val="38"/>
        </w:rPr>
      </w:pPr>
    </w:p>
    <w:p>
      <w:pPr>
        <w:pStyle w:val="BodyText"/>
        <w:tabs>
          <w:tab w:pos="1279" w:val="left" w:leader="none"/>
          <w:tab w:pos="1919" w:val="left" w:leader="none"/>
        </w:tabs>
        <w:spacing w:before="1"/>
        <w:ind w:left="0" w:right="1357"/>
        <w:jc w:val="center"/>
        <w:rPr>
          <w:rFonts w:ascii="黑体" w:eastAsia="黑体" w:hint="eastAsia"/>
        </w:rPr>
      </w:pPr>
      <w:r>
        <w:rPr>
          <w:rFonts w:ascii="黑体" w:eastAsia="黑体" w:hint="eastAsia"/>
        </w:rPr>
        <w:t>第一章</w:t>
        <w:tab/>
        <w:t>总</w:t>
        <w:tab/>
        <w:t>则</w:t>
      </w:r>
    </w:p>
    <w:p>
      <w:pPr>
        <w:pStyle w:val="BodyText"/>
        <w:ind w:left="0"/>
        <w:rPr>
          <w:rFonts w:ascii="黑体"/>
        </w:rPr>
      </w:pPr>
    </w:p>
    <w:p>
      <w:pPr>
        <w:pStyle w:val="BodyText"/>
        <w:spacing w:before="8"/>
        <w:ind w:left="0"/>
        <w:rPr>
          <w:rFonts w:ascii="黑体"/>
          <w:sz w:val="29"/>
        </w:rPr>
      </w:pPr>
    </w:p>
    <w:p>
      <w:pPr>
        <w:pStyle w:val="BodyText"/>
        <w:spacing w:line="350" w:lineRule="auto"/>
        <w:ind w:right="1453" w:firstLine="607"/>
        <w:jc w:val="both"/>
      </w:pPr>
      <w:r>
        <w:rPr>
          <w:rFonts w:ascii="黑体" w:eastAsia="黑体" w:hint="eastAsia"/>
          <w:spacing w:val="13"/>
        </w:rPr>
        <w:t>第一条 </w:t>
      </w:r>
      <w:r>
        <w:rPr>
          <w:spacing w:val="-26"/>
        </w:rPr>
        <w:t>为规范重大行政决策程序，健全科学、民主、依法决策</w:t>
      </w:r>
      <w:r>
        <w:rPr>
          <w:spacing w:val="-12"/>
          <w:w w:val="95"/>
        </w:rPr>
        <w:t>机制，提高决策质量和效率，明确决策责任，根据《中华人民共和  </w:t>
      </w:r>
      <w:r>
        <w:rPr>
          <w:spacing w:val="-25"/>
          <w:w w:val="95"/>
        </w:rPr>
        <w:t>国地方各级人民代表大会和地方各级人民政府组织法》《重大行政决  </w:t>
      </w:r>
      <w:r>
        <w:rPr>
          <w:spacing w:val="-17"/>
        </w:rPr>
        <w:t>策程序暂行条例》等法律、法规规定，结合实际，制定本细则。</w:t>
      </w:r>
    </w:p>
    <w:p>
      <w:pPr>
        <w:pStyle w:val="BodyText"/>
        <w:spacing w:line="350" w:lineRule="auto" w:before="6"/>
        <w:ind w:right="1473" w:firstLine="640"/>
        <w:jc w:val="both"/>
      </w:pPr>
      <w:r>
        <w:rPr>
          <w:rFonts w:ascii="黑体" w:eastAsia="黑体" w:hint="eastAsia"/>
          <w:spacing w:val="26"/>
        </w:rPr>
        <w:t>第二条 </w:t>
      </w:r>
      <w:r>
        <w:rPr>
          <w:spacing w:val="-29"/>
        </w:rPr>
        <w:t>区政府重大行政决策作出和调整程序，适用本细则。执</w:t>
      </w:r>
      <w:r>
        <w:rPr>
          <w:w w:val="95"/>
        </w:rPr>
        <w:t>行上级政府和部门的决策任务，上级政府和部门已履行完毕重大 </w:t>
      </w:r>
      <w:r>
        <w:rPr/>
        <w:t>行政决策程序的，不需要重复履行相关程序。</w:t>
      </w:r>
    </w:p>
    <w:p>
      <w:pPr>
        <w:pStyle w:val="BodyText"/>
        <w:spacing w:before="4"/>
        <w:ind w:left="754"/>
        <w:jc w:val="both"/>
      </w:pPr>
      <w:r>
        <w:rPr>
          <w:rFonts w:ascii="黑体" w:eastAsia="黑体" w:hint="eastAsia"/>
        </w:rPr>
        <w:t>第三条 </w:t>
      </w:r>
      <w:r>
        <w:rPr/>
        <w:t>本细则所称重大行政决策事项包括</w:t>
      </w:r>
    </w:p>
    <w:p>
      <w:pPr>
        <w:pStyle w:val="BodyText"/>
        <w:spacing w:line="350" w:lineRule="auto" w:before="190"/>
        <w:ind w:right="1471" w:firstLine="640"/>
      </w:pPr>
      <w:r>
        <w:rPr/>
        <w:t>（一）制定有关公共服务、市场监管、社会管理、环境保护等方面的重大公共政策和措施</w:t>
      </w:r>
    </w:p>
    <w:p>
      <w:pPr>
        <w:pStyle w:val="BodyText"/>
        <w:spacing w:before="3"/>
        <w:ind w:left="754"/>
      </w:pPr>
      <w:r>
        <w:rPr/>
        <w:t>（二）制定经济和社会发展等方面的重要规划</w:t>
      </w:r>
    </w:p>
    <w:p>
      <w:pPr>
        <w:pStyle w:val="BodyText"/>
        <w:spacing w:line="350" w:lineRule="auto" w:before="190"/>
        <w:ind w:right="1474" w:firstLine="640"/>
      </w:pPr>
      <w:r>
        <w:rPr>
          <w:w w:val="95"/>
        </w:rPr>
        <w:t>（三）制定开发利用、保护重要自然资源和文化资源的重大 </w:t>
      </w:r>
      <w:r>
        <w:rPr/>
        <w:t>公共政策和措施</w:t>
      </w:r>
    </w:p>
    <w:p>
      <w:pPr>
        <w:pStyle w:val="BodyText"/>
        <w:spacing w:before="2"/>
        <w:ind w:left="754"/>
      </w:pPr>
      <w:r>
        <w:rPr/>
        <w:t>（四）决定在本行政区域实施的重大公共建设项目</w:t>
      </w:r>
    </w:p>
    <w:p>
      <w:pPr>
        <w:pStyle w:val="BodyText"/>
        <w:spacing w:line="350" w:lineRule="auto" w:before="190"/>
        <w:ind w:right="1473" w:firstLine="640"/>
      </w:pPr>
      <w:r>
        <w:rPr>
          <w:w w:val="95"/>
        </w:rPr>
        <w:t>（五）决定对经济社会发展有重大影响、涉及重大公共利益 </w:t>
      </w:r>
      <w:r>
        <w:rPr/>
        <w:t>或者社会公众切身利益的其他重大事项。</w:t>
      </w:r>
    </w:p>
    <w:p>
      <w:pPr>
        <w:pStyle w:val="BodyText"/>
        <w:spacing w:line="350" w:lineRule="auto" w:before="3"/>
        <w:ind w:right="1473" w:firstLine="640"/>
      </w:pPr>
      <w:r>
        <w:rPr>
          <w:w w:val="95"/>
        </w:rPr>
        <w:t>城乡规划、土地利用总体规划等决策程序，法律、行政法规 </w:t>
      </w:r>
      <w:r>
        <w:rPr/>
        <w:t>另有规定的，从其规定。</w:t>
      </w:r>
    </w:p>
    <w:p>
      <w:pPr>
        <w:spacing w:after="0" w:line="350" w:lineRule="auto"/>
        <w:sectPr>
          <w:pgSz w:w="11910" w:h="16840"/>
          <w:pgMar w:header="0" w:footer="972" w:top="1440" w:bottom="1160" w:left="1360" w:right="0"/>
        </w:sectPr>
      </w:pPr>
    </w:p>
    <w:p>
      <w:pPr>
        <w:pStyle w:val="BodyText"/>
        <w:spacing w:line="350" w:lineRule="auto" w:before="42"/>
        <w:ind w:right="1474" w:firstLine="640"/>
      </w:pPr>
      <w:r>
        <w:rPr/>
        <w:pict>
          <v:shape style="position:absolute;margin-left:14.089746pt;margin-top:401.397156pt;width:576pt;height:48pt;mso-position-horizontal-relative:page;mso-position-vertical-relative:page;z-index:-25208934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财政政策等宏观调控决策、人事任免等政府内部事务管理措 </w:t>
      </w:r>
      <w:r>
        <w:rPr/>
        <w:t>施、外交外事活动以及突发事件应急处置决策不适用本细则。</w:t>
      </w:r>
    </w:p>
    <w:p>
      <w:pPr>
        <w:pStyle w:val="BodyText"/>
        <w:spacing w:line="350" w:lineRule="auto" w:before="3"/>
        <w:ind w:right="1471" w:firstLine="640"/>
        <w:jc w:val="both"/>
      </w:pPr>
      <w:r>
        <w:rPr>
          <w:rFonts w:ascii="黑体" w:eastAsia="黑体" w:hint="eastAsia"/>
          <w:spacing w:val="37"/>
        </w:rPr>
        <w:t>第四条 </w:t>
      </w:r>
      <w:r>
        <w:rPr>
          <w:spacing w:val="-1"/>
        </w:rPr>
        <w:t>区政府实行重大行政决策事项目录管理，依据本细</w:t>
      </w:r>
      <w:r>
        <w:rPr>
          <w:spacing w:val="-1"/>
          <w:w w:val="95"/>
        </w:rPr>
        <w:t>则第三条规定的决策事项范围，结合职责权限和全区实际，确定 决策事项目录，经区委同意后向社会公布，并可以根据实际情况 进行调整。纳入目录的重大行政决策事项应当按照本细则规定作 </w:t>
      </w:r>
      <w:r>
        <w:rPr>
          <w:spacing w:val="-1"/>
        </w:rPr>
        <w:t>出决策。</w:t>
      </w:r>
    </w:p>
    <w:p>
      <w:pPr>
        <w:pStyle w:val="BodyText"/>
        <w:spacing w:line="350" w:lineRule="auto" w:before="7"/>
        <w:ind w:right="1471" w:firstLine="640"/>
        <w:jc w:val="both"/>
      </w:pPr>
      <w:r>
        <w:rPr>
          <w:rFonts w:ascii="黑体" w:eastAsia="黑体" w:hint="eastAsia"/>
          <w:spacing w:val="37"/>
        </w:rPr>
        <w:t>第五条 </w:t>
      </w:r>
      <w:r>
        <w:rPr/>
        <w:t>区政府办公室负责本区重大行政决策的统筹协调， </w:t>
      </w:r>
      <w:r>
        <w:rPr>
          <w:w w:val="95"/>
        </w:rPr>
        <w:t>组织重大行政决策事项目录编制工作，会议的组织协调及议定事 </w:t>
      </w:r>
      <w:r>
        <w:rPr/>
        <w:t>项的督促检查等工作。</w:t>
      </w:r>
    </w:p>
    <w:p>
      <w:pPr>
        <w:pStyle w:val="BodyText"/>
        <w:spacing w:line="350" w:lineRule="auto" w:before="4"/>
        <w:ind w:right="1471" w:firstLine="640"/>
        <w:jc w:val="both"/>
      </w:pPr>
      <w:r>
        <w:rPr/>
        <w:t>决策事项的承办单位（以下简称决策承办单位）负责决策草案的拟订和履行重大行政决策程序，做好决策事项的具体组织实施工作。</w:t>
      </w:r>
    </w:p>
    <w:p>
      <w:pPr>
        <w:pStyle w:val="BodyText"/>
        <w:spacing w:line="350" w:lineRule="auto" w:before="4"/>
        <w:ind w:right="1307" w:firstLine="640"/>
        <w:jc w:val="both"/>
      </w:pPr>
      <w:r>
        <w:rPr>
          <w:spacing w:val="-1"/>
        </w:rPr>
        <w:t>区司法局负责重大行政决策的合法性审查，协助区政府办公</w:t>
      </w:r>
      <w:r>
        <w:rPr>
          <w:spacing w:val="-12"/>
        </w:rPr>
        <w:t>室拟订重大行政决策事项目录，配合做好会议的组织协调及议定事</w:t>
      </w:r>
      <w:r>
        <w:rPr>
          <w:spacing w:val="-24"/>
          <w:w w:val="95"/>
        </w:rPr>
        <w:t>项的督促检查等，开展重大行政决策事项依法行政考核等相关工作。</w:t>
      </w:r>
    </w:p>
    <w:p>
      <w:pPr>
        <w:pStyle w:val="BodyText"/>
        <w:spacing w:line="350" w:lineRule="auto" w:before="4"/>
        <w:ind w:right="1471" w:firstLine="640"/>
        <w:jc w:val="right"/>
      </w:pPr>
      <w:r>
        <w:rPr>
          <w:w w:val="95"/>
        </w:rPr>
        <w:t>区政务服务局负责公示区政府重大行政决策事项目录，指导 决策承办单位完成重大行政决策的信息公开、公布和解读工作。 区发展改革委、区财政局、市规划自然资源委大兴分局等部</w:t>
      </w:r>
    </w:p>
    <w:p>
      <w:pPr>
        <w:pStyle w:val="BodyText"/>
        <w:spacing w:before="5"/>
      </w:pPr>
      <w:r>
        <w:rPr/>
        <w:t>门按照各自职责，配合做好重大行政决策相关工作。</w:t>
      </w:r>
    </w:p>
    <w:p>
      <w:pPr>
        <w:pStyle w:val="BodyText"/>
        <w:tabs>
          <w:tab w:pos="2095" w:val="left" w:leader="none"/>
        </w:tabs>
        <w:spacing w:line="350" w:lineRule="auto" w:before="190"/>
        <w:ind w:right="1470" w:firstLine="640"/>
      </w:pPr>
      <w:r>
        <w:rPr>
          <w:rFonts w:ascii="黑体" w:eastAsia="黑体" w:hint="eastAsia"/>
          <w:spacing w:val="14"/>
        </w:rPr>
        <w:t>第</w:t>
      </w:r>
      <w:r>
        <w:rPr>
          <w:rFonts w:ascii="黑体" w:eastAsia="黑体" w:hint="eastAsia"/>
          <w:spacing w:val="12"/>
        </w:rPr>
        <w:t>六</w:t>
      </w:r>
      <w:r>
        <w:rPr>
          <w:rFonts w:ascii="黑体" w:eastAsia="黑体" w:hint="eastAsia"/>
        </w:rPr>
        <w:t>条</w:t>
        <w:tab/>
      </w:r>
      <w:r>
        <w:rPr>
          <w:spacing w:val="14"/>
          <w:w w:val="95"/>
        </w:rPr>
        <w:t>重</w:t>
      </w:r>
      <w:r>
        <w:rPr>
          <w:spacing w:val="12"/>
          <w:w w:val="95"/>
        </w:rPr>
        <w:t>大</w:t>
      </w:r>
      <w:r>
        <w:rPr>
          <w:spacing w:val="14"/>
          <w:w w:val="95"/>
        </w:rPr>
        <w:t>行政</w:t>
      </w:r>
      <w:r>
        <w:rPr>
          <w:spacing w:val="12"/>
          <w:w w:val="95"/>
        </w:rPr>
        <w:t>决</w:t>
      </w:r>
      <w:r>
        <w:rPr>
          <w:spacing w:val="14"/>
          <w:w w:val="95"/>
        </w:rPr>
        <w:t>策</w:t>
      </w:r>
      <w:r>
        <w:rPr>
          <w:spacing w:val="12"/>
          <w:w w:val="95"/>
        </w:rPr>
        <w:t>依</w:t>
      </w:r>
      <w:r>
        <w:rPr>
          <w:spacing w:val="14"/>
          <w:w w:val="95"/>
        </w:rPr>
        <w:t>法接</w:t>
      </w:r>
      <w:r>
        <w:rPr>
          <w:spacing w:val="12"/>
          <w:w w:val="95"/>
        </w:rPr>
        <w:t>受</w:t>
      </w:r>
      <w:r>
        <w:rPr>
          <w:spacing w:val="14"/>
          <w:w w:val="95"/>
        </w:rPr>
        <w:t>区人</w:t>
      </w:r>
      <w:r>
        <w:rPr>
          <w:spacing w:val="12"/>
          <w:w w:val="95"/>
        </w:rPr>
        <w:t>民</w:t>
      </w:r>
      <w:r>
        <w:rPr>
          <w:spacing w:val="14"/>
          <w:w w:val="95"/>
        </w:rPr>
        <w:t>代</w:t>
      </w:r>
      <w:r>
        <w:rPr>
          <w:spacing w:val="12"/>
          <w:w w:val="95"/>
        </w:rPr>
        <w:t>表</w:t>
      </w:r>
      <w:r>
        <w:rPr>
          <w:spacing w:val="14"/>
          <w:w w:val="95"/>
        </w:rPr>
        <w:t>大会</w:t>
      </w:r>
      <w:r>
        <w:rPr>
          <w:spacing w:val="12"/>
          <w:w w:val="95"/>
        </w:rPr>
        <w:t>及</w:t>
      </w:r>
      <w:r>
        <w:rPr>
          <w:spacing w:val="14"/>
          <w:w w:val="95"/>
        </w:rPr>
        <w:t>其常</w:t>
      </w:r>
      <w:r>
        <w:rPr>
          <w:w w:val="95"/>
        </w:rPr>
        <w:t>务 </w:t>
      </w:r>
      <w:r>
        <w:rPr/>
        <w:t>委员会、上级行政机关及审计机关的监督。</w:t>
      </w:r>
    </w:p>
    <w:p>
      <w:pPr>
        <w:pStyle w:val="BodyText"/>
        <w:spacing w:before="2"/>
        <w:ind w:left="754"/>
      </w:pPr>
      <w:r>
        <w:rPr/>
        <w:t>根据法律、法规规定属于区人民代表大会及其常务委员会讨</w:t>
      </w:r>
    </w:p>
    <w:p>
      <w:pPr>
        <w:spacing w:after="0"/>
        <w:sectPr>
          <w:pgSz w:w="11910" w:h="16840"/>
          <w:pgMar w:header="0" w:footer="972" w:top="1540" w:bottom="1160" w:left="1360" w:right="0"/>
        </w:sectPr>
      </w:pPr>
    </w:p>
    <w:p>
      <w:pPr>
        <w:pStyle w:val="BodyText"/>
        <w:spacing w:line="350" w:lineRule="auto" w:before="42"/>
        <w:ind w:right="1469"/>
      </w:pPr>
      <w:r>
        <w:rPr/>
        <w:pict>
          <v:shape style="position:absolute;margin-left:14.089746pt;margin-top:401.397156pt;width:576pt;height:48pt;mso-position-horizontal-relative:page;mso-position-vertical-relative:page;z-index:-25208832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11"/>
          <w:w w:val="95"/>
        </w:rPr>
        <w:t>论决定的重大事项或者应当在出台前向区人民代表大会常务委 </w:t>
      </w:r>
      <w:r>
        <w:rPr>
          <w:spacing w:val="11"/>
        </w:rPr>
        <w:t>员会报告的，或者报市政府批准的，按照有关规定办理。</w:t>
      </w:r>
    </w:p>
    <w:p>
      <w:pPr>
        <w:pStyle w:val="BodyText"/>
        <w:spacing w:line="350" w:lineRule="auto" w:before="3"/>
        <w:ind w:right="1473" w:firstLine="640"/>
        <w:jc w:val="both"/>
      </w:pPr>
      <w:r>
        <w:rPr>
          <w:rFonts w:ascii="黑体" w:eastAsia="黑体" w:hint="eastAsia"/>
          <w:spacing w:val="37"/>
        </w:rPr>
        <w:t>第七条 </w:t>
      </w:r>
      <w:r>
        <w:rPr/>
        <w:t>重大行政决策必须坚持和加强党的全面领导，全面</w:t>
      </w:r>
      <w:r>
        <w:rPr>
          <w:w w:val="95"/>
        </w:rPr>
        <w:t>贯彻党的路线方针政策和决策部署，发挥党的领导核心作用，把 </w:t>
      </w:r>
      <w:r>
        <w:rPr/>
        <w:t>党的领导贯彻到重大行政决策全过程。</w:t>
      </w:r>
    </w:p>
    <w:p>
      <w:pPr>
        <w:pStyle w:val="BodyText"/>
        <w:spacing w:before="4"/>
        <w:ind w:left="754"/>
        <w:jc w:val="both"/>
      </w:pPr>
      <w:r>
        <w:rPr>
          <w:rFonts w:ascii="黑体" w:eastAsia="黑体" w:hint="eastAsia"/>
        </w:rPr>
        <w:t>第八条 </w:t>
      </w:r>
      <w:r>
        <w:rPr/>
        <w:t>作出重大行政决策应当遵循以下原则</w:t>
      </w:r>
    </w:p>
    <w:p>
      <w:pPr>
        <w:pStyle w:val="BodyText"/>
        <w:spacing w:line="350" w:lineRule="auto" w:before="190"/>
        <w:ind w:right="1471" w:firstLine="640"/>
        <w:jc w:val="both"/>
      </w:pPr>
      <w:r>
        <w:rPr/>
        <w:t>（一）科学决策原则。贯彻创新、协调、绿色、开放、共享</w:t>
      </w:r>
      <w:r>
        <w:rPr>
          <w:w w:val="95"/>
        </w:rPr>
        <w:t>的发展理念，坚持从实际出发，运用科学技术和方法，尊重客观 </w:t>
      </w:r>
      <w:r>
        <w:rPr/>
        <w:t>规律，适应经济社会发展和全面深化改革要求。</w:t>
      </w:r>
    </w:p>
    <w:p>
      <w:pPr>
        <w:pStyle w:val="BodyText"/>
        <w:spacing w:line="350" w:lineRule="auto" w:before="4"/>
        <w:ind w:right="1471" w:firstLine="640"/>
      </w:pPr>
      <w:r>
        <w:rPr/>
        <w:t>（二）民主决策原则。充分听取各方面意见，保障人民群众通过多种途径和形式参与决策。</w:t>
      </w:r>
    </w:p>
    <w:p>
      <w:pPr>
        <w:pStyle w:val="BodyText"/>
        <w:spacing w:line="350" w:lineRule="auto" w:before="3"/>
        <w:ind w:right="1473" w:firstLine="640"/>
      </w:pPr>
      <w:r>
        <w:rPr>
          <w:w w:val="95"/>
        </w:rPr>
        <w:t>（三）依法决策原则。严格遵守法定权限，依法履行法定程 </w:t>
      </w:r>
      <w:r>
        <w:rPr/>
        <w:t>序，保证决策内容符合法律、法规、规章和政策等规定。</w:t>
      </w:r>
    </w:p>
    <w:p>
      <w:pPr>
        <w:pStyle w:val="BodyText"/>
        <w:spacing w:line="350" w:lineRule="auto" w:before="3"/>
        <w:ind w:right="1470" w:firstLine="640"/>
        <w:jc w:val="both"/>
      </w:pPr>
      <w:r>
        <w:rPr>
          <w:rFonts w:ascii="黑体" w:eastAsia="黑体" w:hint="eastAsia"/>
        </w:rPr>
        <w:t>第九条 </w:t>
      </w:r>
      <w:r>
        <w:rPr/>
        <w:t>重大行政决策情况应当作为考核评价决策机关及其领导人员的重要内容，纳入区绩效考评指标体系及法治建设督察范围。</w:t>
      </w:r>
    </w:p>
    <w:p>
      <w:pPr>
        <w:pStyle w:val="BodyText"/>
        <w:spacing w:before="2"/>
        <w:ind w:left="0"/>
        <w:rPr>
          <w:sz w:val="47"/>
        </w:rPr>
      </w:pPr>
    </w:p>
    <w:p>
      <w:pPr>
        <w:pStyle w:val="BodyText"/>
        <w:tabs>
          <w:tab w:pos="3634" w:val="left" w:leader="none"/>
        </w:tabs>
        <w:ind w:left="2352"/>
        <w:rPr>
          <w:rFonts w:ascii="黑体" w:eastAsia="黑体" w:hint="eastAsia"/>
        </w:rPr>
      </w:pPr>
      <w:r>
        <w:rPr>
          <w:rFonts w:ascii="黑体" w:eastAsia="黑体" w:hint="eastAsia"/>
        </w:rPr>
        <w:t>第二章</w:t>
        <w:tab/>
        <w:t>重大行政决策事项目录管理</w:t>
      </w:r>
    </w:p>
    <w:p>
      <w:pPr>
        <w:pStyle w:val="BodyText"/>
        <w:ind w:left="0"/>
        <w:rPr>
          <w:rFonts w:ascii="黑体"/>
        </w:rPr>
      </w:pPr>
    </w:p>
    <w:p>
      <w:pPr>
        <w:pStyle w:val="BodyText"/>
        <w:spacing w:before="8"/>
        <w:ind w:left="0"/>
        <w:rPr>
          <w:rFonts w:ascii="黑体"/>
          <w:sz w:val="29"/>
        </w:rPr>
      </w:pPr>
    </w:p>
    <w:p>
      <w:pPr>
        <w:pStyle w:val="BodyText"/>
        <w:tabs>
          <w:tab w:pos="1980" w:val="left" w:leader="none"/>
        </w:tabs>
        <w:spacing w:line="350" w:lineRule="auto"/>
        <w:ind w:right="1300" w:firstLine="539"/>
      </w:pPr>
      <w:r>
        <w:rPr>
          <w:rFonts w:ascii="黑体" w:eastAsia="黑体" w:hint="eastAsia"/>
          <w:spacing w:val="9"/>
        </w:rPr>
        <w:t>第</w:t>
      </w:r>
      <w:r>
        <w:rPr>
          <w:rFonts w:ascii="黑体" w:eastAsia="黑体" w:hint="eastAsia"/>
          <w:spacing w:val="12"/>
        </w:rPr>
        <w:t>十</w:t>
      </w:r>
      <w:r>
        <w:rPr>
          <w:rFonts w:ascii="黑体" w:eastAsia="黑体" w:hint="eastAsia"/>
        </w:rPr>
        <w:t>条</w:t>
        <w:tab/>
      </w:r>
      <w:r>
        <w:rPr>
          <w:spacing w:val="12"/>
        </w:rPr>
        <w:t>重</w:t>
      </w:r>
      <w:r>
        <w:rPr>
          <w:spacing w:val="-12"/>
        </w:rPr>
        <w:t>大行</w:t>
      </w:r>
      <w:r>
        <w:rPr>
          <w:spacing w:val="-10"/>
        </w:rPr>
        <w:t>政</w:t>
      </w:r>
      <w:r>
        <w:rPr>
          <w:spacing w:val="-12"/>
        </w:rPr>
        <w:t>决策事项</w:t>
      </w:r>
      <w:r>
        <w:rPr>
          <w:spacing w:val="-10"/>
        </w:rPr>
        <w:t>目</w:t>
      </w:r>
      <w:r>
        <w:rPr>
          <w:spacing w:val="-12"/>
        </w:rPr>
        <w:t>录是区</w:t>
      </w:r>
      <w:r>
        <w:rPr>
          <w:spacing w:val="-10"/>
        </w:rPr>
        <w:t>政</w:t>
      </w:r>
      <w:r>
        <w:rPr>
          <w:spacing w:val="-12"/>
        </w:rPr>
        <w:t>府及其部</w:t>
      </w:r>
      <w:r>
        <w:rPr>
          <w:spacing w:val="-10"/>
        </w:rPr>
        <w:t>门</w:t>
      </w:r>
      <w:r>
        <w:rPr>
          <w:spacing w:val="-12"/>
        </w:rPr>
        <w:t>年度总体</w:t>
      </w:r>
      <w:r>
        <w:rPr/>
        <w:t>工</w:t>
      </w:r>
      <w:r>
        <w:rPr>
          <w:spacing w:val="-22"/>
          <w:w w:val="95"/>
        </w:rPr>
        <w:t>作的重</w:t>
      </w:r>
      <w:r>
        <w:rPr>
          <w:spacing w:val="-19"/>
          <w:w w:val="95"/>
        </w:rPr>
        <w:t>要</w:t>
      </w:r>
      <w:r>
        <w:rPr>
          <w:spacing w:val="-22"/>
          <w:w w:val="95"/>
        </w:rPr>
        <w:t>组成部分</w:t>
      </w:r>
      <w:r>
        <w:rPr>
          <w:spacing w:val="-65"/>
          <w:w w:val="95"/>
        </w:rPr>
        <w:t>，</w:t>
      </w:r>
      <w:r>
        <w:rPr>
          <w:spacing w:val="-22"/>
          <w:w w:val="95"/>
        </w:rPr>
        <w:t>应当与</w:t>
      </w:r>
      <w:r>
        <w:rPr>
          <w:spacing w:val="-19"/>
          <w:w w:val="95"/>
        </w:rPr>
        <w:t>年</w:t>
      </w:r>
      <w:r>
        <w:rPr>
          <w:spacing w:val="-22"/>
          <w:w w:val="95"/>
        </w:rPr>
        <w:t>度工作同步</w:t>
      </w:r>
      <w:r>
        <w:rPr>
          <w:spacing w:val="-19"/>
          <w:w w:val="95"/>
        </w:rPr>
        <w:t>编</w:t>
      </w:r>
      <w:r>
        <w:rPr>
          <w:spacing w:val="-22"/>
          <w:w w:val="95"/>
        </w:rPr>
        <w:t>制</w:t>
      </w:r>
      <w:r>
        <w:rPr>
          <w:spacing w:val="-65"/>
          <w:w w:val="95"/>
        </w:rPr>
        <w:t>、</w:t>
      </w:r>
      <w:r>
        <w:rPr>
          <w:spacing w:val="-22"/>
          <w:w w:val="95"/>
        </w:rPr>
        <w:t>同步推</w:t>
      </w:r>
      <w:r>
        <w:rPr>
          <w:spacing w:val="-20"/>
          <w:w w:val="95"/>
        </w:rPr>
        <w:t>进</w:t>
      </w:r>
      <w:r>
        <w:rPr>
          <w:spacing w:val="-65"/>
          <w:w w:val="95"/>
        </w:rPr>
        <w:t>、</w:t>
      </w:r>
      <w:r>
        <w:rPr>
          <w:spacing w:val="-22"/>
          <w:w w:val="95"/>
        </w:rPr>
        <w:t>同步检</w:t>
      </w:r>
      <w:r>
        <w:rPr>
          <w:spacing w:val="-20"/>
          <w:w w:val="95"/>
        </w:rPr>
        <w:t>查</w:t>
      </w:r>
      <w:r>
        <w:rPr>
          <w:w w:val="95"/>
        </w:rPr>
        <w:t>。</w:t>
      </w:r>
    </w:p>
    <w:p>
      <w:pPr>
        <w:pStyle w:val="BodyText"/>
        <w:tabs>
          <w:tab w:pos="2352" w:val="left" w:leader="none"/>
        </w:tabs>
        <w:spacing w:line="350" w:lineRule="auto" w:before="3"/>
        <w:ind w:right="1473" w:firstLine="640"/>
      </w:pPr>
      <w:r>
        <w:rPr>
          <w:rFonts w:ascii="黑体" w:eastAsia="黑体" w:hint="eastAsia"/>
        </w:rPr>
        <w:t>第十一条</w:t>
        <w:tab/>
      </w:r>
      <w:r>
        <w:rPr/>
        <w:t>在组织拟订重大行政决策事项目录</w:t>
      </w:r>
      <w:r>
        <w:rPr>
          <w:spacing w:val="3"/>
        </w:rPr>
        <w:t>前</w:t>
      </w:r>
      <w:r>
        <w:rPr>
          <w:spacing w:val="-3"/>
        </w:rPr>
        <w:t>，</w:t>
      </w:r>
      <w:r>
        <w:rPr/>
        <w:t>区政府</w:t>
      </w:r>
      <w:r>
        <w:rPr>
          <w:spacing w:val="-11"/>
        </w:rPr>
        <w:t>办</w:t>
      </w:r>
      <w:r>
        <w:rPr>
          <w:w w:val="95"/>
        </w:rPr>
        <w:t>公室、区司法局应当向本级政府所属部门征集决策事项建议，并</w:t>
      </w:r>
    </w:p>
    <w:p>
      <w:pPr>
        <w:spacing w:after="0" w:line="350" w:lineRule="auto"/>
        <w:sectPr>
          <w:pgSz w:w="11910" w:h="16840"/>
          <w:pgMar w:header="0" w:footer="972" w:top="1540" w:bottom="1160" w:left="1360" w:right="0"/>
        </w:sectPr>
      </w:pPr>
    </w:p>
    <w:p>
      <w:pPr>
        <w:pStyle w:val="BodyText"/>
        <w:spacing w:line="350" w:lineRule="auto" w:before="42"/>
        <w:ind w:right="1472"/>
      </w:pPr>
      <w:r>
        <w:rPr/>
        <w:pict>
          <v:shape style="position:absolute;margin-left:14.089746pt;margin-top:401.397156pt;width:576pt;height:48pt;mso-position-horizontal-relative:page;mso-position-vertical-relative:page;z-index:-25208729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可以根据需要向镇、街道以及其他国家机关、社会团体、企事业单位和社会公众征集决策事项建议。</w:t>
      </w:r>
    </w:p>
    <w:p>
      <w:pPr>
        <w:spacing w:line="369" w:lineRule="auto" w:before="3"/>
        <w:ind w:left="113" w:right="1470" w:firstLine="640"/>
        <w:jc w:val="both"/>
        <w:rPr>
          <w:sz w:val="30"/>
        </w:rPr>
      </w:pPr>
      <w:r>
        <w:rPr>
          <w:sz w:val="32"/>
        </w:rPr>
        <w:t>区人大代表和政协委员通过建议和提案等方式，向区政府提</w:t>
      </w:r>
      <w:r>
        <w:rPr>
          <w:spacing w:val="-5"/>
          <w:sz w:val="30"/>
        </w:rPr>
        <w:t>出重大行政决策事项建议的，区政府相关部门应当及时研究决定是否</w:t>
      </w:r>
      <w:r>
        <w:rPr>
          <w:sz w:val="30"/>
        </w:rPr>
        <w:t>申报重大行政决策事项目录。</w:t>
      </w:r>
    </w:p>
    <w:p>
      <w:pPr>
        <w:spacing w:line="374" w:lineRule="auto" w:before="5"/>
        <w:ind w:left="113" w:right="1470" w:firstLine="599"/>
        <w:jc w:val="both"/>
        <w:rPr>
          <w:sz w:val="30"/>
        </w:rPr>
      </w:pPr>
      <w:r>
        <w:rPr>
          <w:rFonts w:ascii="黑体" w:eastAsia="黑体" w:hint="eastAsia"/>
          <w:spacing w:val="29"/>
          <w:sz w:val="30"/>
        </w:rPr>
        <w:t>第十二条 </w:t>
      </w:r>
      <w:r>
        <w:rPr>
          <w:spacing w:val="-3"/>
          <w:sz w:val="30"/>
        </w:rPr>
        <w:t>区政府各部门应当对照重大行政决策事项范围，结合</w:t>
      </w:r>
      <w:r>
        <w:rPr>
          <w:spacing w:val="-4"/>
          <w:sz w:val="30"/>
        </w:rPr>
        <w:t>区政府年度工作要点和各自管理领域工作，将拟提请区政府决策的重</w:t>
      </w:r>
      <w:r>
        <w:rPr>
          <w:sz w:val="30"/>
        </w:rPr>
        <w:t>大行政决策事项，按照规定时限和要求向区政府申报。</w:t>
      </w:r>
    </w:p>
    <w:p>
      <w:pPr>
        <w:tabs>
          <w:tab w:pos="2213" w:val="left" w:leader="none"/>
        </w:tabs>
        <w:spacing w:line="374" w:lineRule="auto" w:before="1"/>
        <w:ind w:left="113" w:right="1322" w:firstLine="599"/>
        <w:jc w:val="left"/>
        <w:rPr>
          <w:sz w:val="30"/>
        </w:rPr>
      </w:pPr>
      <w:r>
        <w:rPr>
          <w:rFonts w:ascii="黑体" w:eastAsia="黑体" w:hint="eastAsia"/>
          <w:sz w:val="30"/>
        </w:rPr>
        <w:t>第十三条</w:t>
        <w:tab/>
      </w:r>
      <w:r>
        <w:rPr>
          <w:sz w:val="30"/>
        </w:rPr>
        <w:t>区政府办公室</w:t>
      </w:r>
      <w:r>
        <w:rPr>
          <w:spacing w:val="-41"/>
          <w:sz w:val="30"/>
        </w:rPr>
        <w:t>、</w:t>
      </w:r>
      <w:r>
        <w:rPr>
          <w:sz w:val="30"/>
        </w:rPr>
        <w:t>区司法局对部门申报的重大行政决策事项进行联审</w:t>
      </w:r>
      <w:r>
        <w:rPr>
          <w:spacing w:val="-97"/>
          <w:sz w:val="30"/>
        </w:rPr>
        <w:t>，</w:t>
      </w:r>
      <w:r>
        <w:rPr>
          <w:sz w:val="30"/>
        </w:rPr>
        <w:t>并统筹拟订年度重大行政决策事项目录</w:t>
      </w:r>
      <w:r>
        <w:rPr>
          <w:spacing w:val="-96"/>
          <w:sz w:val="30"/>
        </w:rPr>
        <w:t>；</w:t>
      </w:r>
      <w:r>
        <w:rPr>
          <w:sz w:val="30"/>
        </w:rPr>
        <w:t>审核过程中</w:t>
      </w:r>
      <w:r>
        <w:rPr>
          <w:spacing w:val="-14"/>
          <w:sz w:val="30"/>
        </w:rPr>
        <w:t>， </w:t>
      </w:r>
      <w:r>
        <w:rPr>
          <w:sz w:val="30"/>
        </w:rPr>
        <w:t>可以征求发展改革</w:t>
      </w:r>
      <w:r>
        <w:rPr>
          <w:spacing w:val="-15"/>
          <w:sz w:val="30"/>
        </w:rPr>
        <w:t>、</w:t>
      </w:r>
      <w:r>
        <w:rPr>
          <w:sz w:val="30"/>
        </w:rPr>
        <w:t>财政</w:t>
      </w:r>
      <w:r>
        <w:rPr>
          <w:spacing w:val="-15"/>
          <w:sz w:val="30"/>
        </w:rPr>
        <w:t>、</w:t>
      </w:r>
      <w:r>
        <w:rPr>
          <w:sz w:val="30"/>
        </w:rPr>
        <w:t>规划自然资源以及其他相关部门意见</w:t>
      </w:r>
      <w:r>
        <w:rPr>
          <w:spacing w:val="-12"/>
          <w:sz w:val="30"/>
        </w:rPr>
        <w:t>，</w:t>
      </w:r>
      <w:r>
        <w:rPr>
          <w:sz w:val="30"/>
        </w:rPr>
        <w:t>也可以组织座谈会进行研究论证。</w:t>
      </w:r>
    </w:p>
    <w:p>
      <w:pPr>
        <w:spacing w:line="374" w:lineRule="auto" w:before="1"/>
        <w:ind w:left="113" w:right="1470" w:firstLine="599"/>
        <w:jc w:val="both"/>
        <w:rPr>
          <w:sz w:val="30"/>
        </w:rPr>
      </w:pPr>
      <w:r>
        <w:rPr>
          <w:spacing w:val="8"/>
          <w:sz w:val="30"/>
        </w:rPr>
        <w:t>对属于重大行政决策事项范围，但区政府相关部门未申报的事</w:t>
      </w:r>
      <w:r>
        <w:rPr>
          <w:spacing w:val="-7"/>
          <w:sz w:val="30"/>
        </w:rPr>
        <w:t>项，区政府办公室、区司法局可以建议列入拟订的年度重大行政决策</w:t>
      </w:r>
      <w:r>
        <w:rPr>
          <w:sz w:val="30"/>
        </w:rPr>
        <w:t>事项目录。</w:t>
      </w:r>
    </w:p>
    <w:p>
      <w:pPr>
        <w:spacing w:line="374" w:lineRule="auto" w:before="1"/>
        <w:ind w:left="113" w:right="1470" w:firstLine="599"/>
        <w:jc w:val="both"/>
        <w:rPr>
          <w:sz w:val="30"/>
        </w:rPr>
      </w:pPr>
      <w:r>
        <w:rPr>
          <w:rFonts w:ascii="黑体" w:eastAsia="黑体" w:hint="eastAsia"/>
          <w:spacing w:val="29"/>
          <w:sz w:val="30"/>
        </w:rPr>
        <w:t>第十四条 </w:t>
      </w:r>
      <w:r>
        <w:rPr>
          <w:spacing w:val="-7"/>
          <w:sz w:val="30"/>
        </w:rPr>
        <w:t>区政府办公室、区司法局应当按程序将拟订的年度重</w:t>
      </w:r>
      <w:r>
        <w:rPr>
          <w:spacing w:val="-4"/>
          <w:sz w:val="30"/>
        </w:rPr>
        <w:t>大行政决策事项目录草案报请区政府确定，并按程序报区委同意后向</w:t>
      </w:r>
      <w:r>
        <w:rPr>
          <w:sz w:val="30"/>
        </w:rPr>
        <w:t>社会公布。</w:t>
      </w:r>
    </w:p>
    <w:p>
      <w:pPr>
        <w:pStyle w:val="BodyText"/>
        <w:spacing w:line="391" w:lineRule="exact"/>
        <w:ind w:left="754"/>
        <w:jc w:val="both"/>
      </w:pPr>
      <w:r>
        <w:rPr>
          <w:rFonts w:ascii="黑体" w:eastAsia="黑体" w:hint="eastAsia"/>
        </w:rPr>
        <w:t>第十五条 </w:t>
      </w:r>
      <w:r>
        <w:rPr/>
        <w:t>重大行政决策事项年度目录应当包括事项名称、牵</w:t>
      </w:r>
    </w:p>
    <w:p>
      <w:pPr>
        <w:pStyle w:val="BodyText"/>
        <w:spacing w:line="350" w:lineRule="auto" w:before="190"/>
        <w:ind w:right="1307"/>
      </w:pPr>
      <w:r>
        <w:rPr>
          <w:spacing w:val="-12"/>
        </w:rPr>
        <w:t>头单位等。重大行政决策事项目录实行动态管理，确需对列入目录</w:t>
      </w:r>
      <w:r>
        <w:rPr>
          <w:spacing w:val="-20"/>
          <w:w w:val="95"/>
        </w:rPr>
        <w:t>的决策事项进行调整或者新增决策事项的，按照本章规定程序执行。</w:t>
      </w:r>
    </w:p>
    <w:p>
      <w:pPr>
        <w:pStyle w:val="BodyText"/>
        <w:spacing w:before="1"/>
        <w:ind w:left="0"/>
        <w:rPr>
          <w:sz w:val="47"/>
        </w:rPr>
      </w:pPr>
    </w:p>
    <w:p>
      <w:pPr>
        <w:pStyle w:val="BodyText"/>
        <w:tabs>
          <w:tab w:pos="1281" w:val="left" w:leader="none"/>
        </w:tabs>
        <w:ind w:left="0" w:right="397"/>
        <w:jc w:val="center"/>
        <w:rPr>
          <w:rFonts w:ascii="黑体" w:eastAsia="黑体" w:hint="eastAsia"/>
        </w:rPr>
      </w:pPr>
      <w:r>
        <w:rPr>
          <w:rFonts w:ascii="黑体" w:eastAsia="黑体" w:hint="eastAsia"/>
        </w:rPr>
        <w:t>第三章</w:t>
        <w:tab/>
        <w:t>决策草案的形成</w:t>
      </w:r>
    </w:p>
    <w:p>
      <w:pPr>
        <w:spacing w:after="0"/>
        <w:jc w:val="center"/>
        <w:rPr>
          <w:rFonts w:ascii="黑体" w:eastAsia="黑体" w:hint="eastAsia"/>
        </w:rPr>
        <w:sectPr>
          <w:pgSz w:w="11910" w:h="16840"/>
          <w:pgMar w:header="0" w:footer="972" w:top="1540" w:bottom="1160" w:left="1360" w:right="0"/>
        </w:sectPr>
      </w:pPr>
    </w:p>
    <w:p>
      <w:pPr>
        <w:pStyle w:val="BodyText"/>
        <w:ind w:left="0"/>
        <w:rPr>
          <w:rFonts w:ascii="黑体"/>
          <w:sz w:val="20"/>
        </w:rPr>
      </w:pPr>
      <w:r>
        <w:rPr/>
        <w:pict>
          <v:shape style="position:absolute;margin-left:14.089746pt;margin-top:401.397156pt;width:576pt;height:48pt;mso-position-horizontal-relative:page;mso-position-vertical-relative:page;z-index:-2520862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ind w:left="0"/>
        <w:rPr>
          <w:rFonts w:ascii="黑体"/>
          <w:sz w:val="22"/>
        </w:rPr>
      </w:pPr>
    </w:p>
    <w:p>
      <w:pPr>
        <w:pStyle w:val="BodyText"/>
        <w:tabs>
          <w:tab w:pos="1281" w:val="left" w:leader="none"/>
        </w:tabs>
        <w:spacing w:before="54"/>
        <w:ind w:left="0" w:right="397"/>
        <w:jc w:val="center"/>
        <w:rPr>
          <w:rFonts w:ascii="黑体" w:eastAsia="黑体" w:hint="eastAsia"/>
        </w:rPr>
      </w:pPr>
      <w:r>
        <w:rPr>
          <w:rFonts w:ascii="黑体" w:eastAsia="黑体" w:hint="eastAsia"/>
        </w:rPr>
        <w:t>第一节</w:t>
        <w:tab/>
        <w:t>决策启动</w:t>
      </w:r>
    </w:p>
    <w:p>
      <w:pPr>
        <w:pStyle w:val="BodyText"/>
        <w:ind w:left="0"/>
        <w:rPr>
          <w:rFonts w:ascii="黑体"/>
        </w:rPr>
      </w:pPr>
    </w:p>
    <w:p>
      <w:pPr>
        <w:pStyle w:val="BodyText"/>
        <w:spacing w:before="8"/>
        <w:ind w:left="0"/>
        <w:rPr>
          <w:rFonts w:ascii="黑体"/>
          <w:sz w:val="29"/>
        </w:rPr>
      </w:pPr>
    </w:p>
    <w:p>
      <w:pPr>
        <w:pStyle w:val="BodyText"/>
        <w:tabs>
          <w:tab w:pos="2379" w:val="left" w:leader="none"/>
        </w:tabs>
        <w:spacing w:line="350" w:lineRule="auto"/>
        <w:ind w:right="1469" w:firstLine="640"/>
      </w:pPr>
      <w:r>
        <w:rPr>
          <w:rFonts w:ascii="黑体" w:eastAsia="黑体" w:hint="eastAsia"/>
          <w:spacing w:val="7"/>
        </w:rPr>
        <w:t>第十</w:t>
      </w:r>
      <w:r>
        <w:rPr>
          <w:rFonts w:ascii="黑体" w:eastAsia="黑体" w:hint="eastAsia"/>
          <w:spacing w:val="9"/>
        </w:rPr>
        <w:t>六</w:t>
      </w:r>
      <w:r>
        <w:rPr>
          <w:rFonts w:ascii="黑体" w:eastAsia="黑体" w:hint="eastAsia"/>
        </w:rPr>
        <w:t>条</w:t>
        <w:tab/>
      </w:r>
      <w:r>
        <w:rPr>
          <w:w w:val="95"/>
        </w:rPr>
        <w:t>启动决策程序需要由相关单位按照下列规定进</w:t>
      </w:r>
      <w:r>
        <w:rPr>
          <w:spacing w:val="-18"/>
          <w:w w:val="95"/>
        </w:rPr>
        <w:t>行 </w:t>
      </w:r>
      <w:r>
        <w:rPr>
          <w:spacing w:val="-7"/>
        </w:rPr>
        <w:t>研究论</w:t>
      </w:r>
      <w:r>
        <w:rPr/>
        <w:t>证</w:t>
      </w:r>
    </w:p>
    <w:p>
      <w:pPr>
        <w:pStyle w:val="BodyText"/>
        <w:spacing w:line="350" w:lineRule="auto" w:before="3"/>
        <w:ind w:right="1327" w:firstLine="623"/>
      </w:pPr>
      <w:r>
        <w:rPr>
          <w:spacing w:val="-7"/>
          <w:w w:val="95"/>
        </w:rPr>
        <w:t>（一）</w:t>
      </w:r>
      <w:r>
        <w:rPr>
          <w:spacing w:val="-9"/>
          <w:w w:val="95"/>
        </w:rPr>
        <w:t>上级人民政府提出要求或者区长、副区长提出建议的， </w:t>
      </w:r>
      <w:r>
        <w:rPr>
          <w:spacing w:val="-7"/>
        </w:rPr>
        <w:t>由区政府办公室交有关单位研究论证</w:t>
      </w:r>
    </w:p>
    <w:p>
      <w:pPr>
        <w:pStyle w:val="BodyText"/>
        <w:spacing w:line="350" w:lineRule="auto" w:before="3"/>
        <w:ind w:right="1461" w:firstLine="616"/>
      </w:pPr>
      <w:r>
        <w:rPr>
          <w:spacing w:val="-7"/>
          <w:w w:val="95"/>
        </w:rPr>
        <w:t>（</w:t>
      </w:r>
      <w:r>
        <w:rPr>
          <w:spacing w:val="-8"/>
          <w:w w:val="95"/>
        </w:rPr>
        <w:t>二</w:t>
      </w:r>
      <w:r>
        <w:rPr>
          <w:spacing w:val="-36"/>
          <w:w w:val="95"/>
        </w:rPr>
        <w:t>）</w:t>
      </w:r>
      <w:r>
        <w:rPr>
          <w:spacing w:val="-13"/>
          <w:w w:val="95"/>
        </w:rPr>
        <w:t>区政府所属各部门、各镇人民政府、各街道办事处提出 </w:t>
      </w:r>
      <w:r>
        <w:rPr>
          <w:spacing w:val="-7"/>
        </w:rPr>
        <w:t>建议的，由提出建议的单位研究论证</w:t>
      </w:r>
    </w:p>
    <w:p>
      <w:pPr>
        <w:pStyle w:val="BodyText"/>
        <w:spacing w:line="350" w:lineRule="auto" w:before="3"/>
        <w:ind w:right="1461" w:firstLine="623"/>
      </w:pPr>
      <w:r>
        <w:rPr>
          <w:spacing w:val="-7"/>
          <w:w w:val="95"/>
        </w:rPr>
        <w:t>（</w:t>
      </w:r>
      <w:r>
        <w:rPr>
          <w:spacing w:val="-8"/>
          <w:w w:val="95"/>
        </w:rPr>
        <w:t>三</w:t>
      </w:r>
      <w:r>
        <w:rPr>
          <w:spacing w:val="-36"/>
          <w:w w:val="95"/>
        </w:rPr>
        <w:t>）</w:t>
      </w:r>
      <w:r>
        <w:rPr>
          <w:spacing w:val="-15"/>
          <w:w w:val="95"/>
        </w:rPr>
        <w:t>人大代表、政协委员等通过建议、提案等方式提出建议 </w:t>
      </w:r>
      <w:r>
        <w:rPr>
          <w:spacing w:val="-7"/>
        </w:rPr>
        <w:t>的，由建议、提案承办单位研究论证</w:t>
      </w:r>
    </w:p>
    <w:p>
      <w:pPr>
        <w:pStyle w:val="BodyText"/>
        <w:spacing w:line="350" w:lineRule="auto" w:before="3"/>
        <w:ind w:right="1462" w:firstLine="623"/>
      </w:pPr>
      <w:r>
        <w:rPr>
          <w:spacing w:val="-7"/>
          <w:w w:val="95"/>
        </w:rPr>
        <w:t>（</w:t>
      </w:r>
      <w:r>
        <w:rPr>
          <w:spacing w:val="-8"/>
          <w:w w:val="95"/>
        </w:rPr>
        <w:t>四</w:t>
      </w:r>
      <w:r>
        <w:rPr>
          <w:spacing w:val="-36"/>
          <w:w w:val="95"/>
        </w:rPr>
        <w:t>）</w:t>
      </w:r>
      <w:r>
        <w:rPr>
          <w:spacing w:val="-15"/>
          <w:w w:val="95"/>
        </w:rPr>
        <w:t>公民、法人或者其他组织提出书面建议的，由收到建议 </w:t>
      </w:r>
      <w:r>
        <w:rPr>
          <w:spacing w:val="-7"/>
        </w:rPr>
        <w:t>的单位或者建议内容主管部门研究论证。</w:t>
      </w:r>
    </w:p>
    <w:p>
      <w:pPr>
        <w:pStyle w:val="BodyText"/>
        <w:spacing w:line="350" w:lineRule="auto" w:before="2"/>
        <w:ind w:right="1471" w:firstLine="640"/>
        <w:jc w:val="both"/>
      </w:pPr>
      <w:r>
        <w:rPr/>
        <w:t>对前款决策事项建议进行研究论证的，应当论证拟解决的主要问题、建议理由和依据、解决问题的初步方案及其必要性、可行性等。</w:t>
      </w:r>
    </w:p>
    <w:p>
      <w:pPr>
        <w:pStyle w:val="BodyText"/>
        <w:spacing w:line="350" w:lineRule="auto" w:before="5"/>
        <w:ind w:right="1473" w:firstLine="640"/>
        <w:jc w:val="both"/>
      </w:pPr>
      <w:r>
        <w:rPr>
          <w:rFonts w:ascii="黑体" w:eastAsia="黑体" w:hint="eastAsia"/>
        </w:rPr>
        <w:t>第十七条 </w:t>
      </w:r>
      <w:r>
        <w:rPr/>
        <w:t>决策事项建议经有关单位研究论证后，报分管副区长审核并报请区长同意后启动决策程序。</w:t>
      </w:r>
    </w:p>
    <w:p>
      <w:pPr>
        <w:pStyle w:val="BodyText"/>
        <w:spacing w:line="350" w:lineRule="auto" w:before="2"/>
        <w:ind w:right="1472" w:firstLine="640"/>
      </w:pPr>
      <w:r>
        <w:rPr>
          <w:w w:val="95"/>
        </w:rPr>
        <w:t>决定启动决策程序的，应当明确决策事项承办单位。决策事 </w:t>
      </w:r>
      <w:r>
        <w:rPr/>
        <w:t>项需要两个以上单位承办的，应当明确牵头的决策承办单位。</w:t>
      </w:r>
    </w:p>
    <w:p>
      <w:pPr>
        <w:pStyle w:val="BodyText"/>
        <w:tabs>
          <w:tab w:pos="2352" w:val="left" w:leader="none"/>
        </w:tabs>
        <w:spacing w:before="3"/>
        <w:ind w:left="754"/>
      </w:pPr>
      <w:r>
        <w:rPr>
          <w:rFonts w:ascii="黑体" w:eastAsia="黑体" w:hint="eastAsia"/>
        </w:rPr>
        <w:t>第十八条</w:t>
        <w:tab/>
      </w:r>
      <w:r>
        <w:rPr/>
        <w:t>决</w:t>
      </w:r>
      <w:r>
        <w:rPr>
          <w:spacing w:val="-12"/>
        </w:rPr>
        <w:t>策</w:t>
      </w:r>
      <w:r>
        <w:rPr>
          <w:spacing w:val="-10"/>
        </w:rPr>
        <w:t>承</w:t>
      </w:r>
      <w:r>
        <w:rPr>
          <w:spacing w:val="-12"/>
        </w:rPr>
        <w:t>办单</w:t>
      </w:r>
      <w:r>
        <w:rPr>
          <w:spacing w:val="-10"/>
        </w:rPr>
        <w:t>位</w:t>
      </w:r>
      <w:r>
        <w:rPr>
          <w:spacing w:val="-12"/>
        </w:rPr>
        <w:t>应当</w:t>
      </w:r>
      <w:r>
        <w:rPr>
          <w:spacing w:val="-10"/>
        </w:rPr>
        <w:t>按</w:t>
      </w:r>
      <w:r>
        <w:rPr>
          <w:spacing w:val="-12"/>
        </w:rPr>
        <w:t>照下</w:t>
      </w:r>
      <w:r>
        <w:rPr>
          <w:spacing w:val="-10"/>
        </w:rPr>
        <w:t>列</w:t>
      </w:r>
      <w:r>
        <w:rPr>
          <w:spacing w:val="-12"/>
        </w:rPr>
        <w:t>要求</w:t>
      </w:r>
      <w:r>
        <w:rPr>
          <w:spacing w:val="-10"/>
        </w:rPr>
        <w:t>，</w:t>
      </w:r>
      <w:r>
        <w:rPr>
          <w:spacing w:val="-12"/>
        </w:rPr>
        <w:t>拟订</w:t>
      </w:r>
      <w:r>
        <w:rPr>
          <w:spacing w:val="-10"/>
        </w:rPr>
        <w:t>决</w:t>
      </w:r>
      <w:r>
        <w:rPr>
          <w:spacing w:val="-12"/>
        </w:rPr>
        <w:t>策草</w:t>
      </w:r>
      <w:r>
        <w:rPr>
          <w:spacing w:val="-13"/>
        </w:rPr>
        <w:t>案</w:t>
      </w:r>
      <w:r>
        <w:rPr/>
        <w:t>：</w:t>
      </w:r>
    </w:p>
    <w:p>
      <w:pPr>
        <w:pStyle w:val="BodyText"/>
        <w:spacing w:line="350" w:lineRule="auto" w:before="190"/>
        <w:ind w:right="1471" w:firstLine="640"/>
      </w:pPr>
      <w:r>
        <w:rPr/>
        <w:t>（一）广泛深入开展调查研究，全面准确掌握有关信息，充分协商协调</w:t>
      </w:r>
    </w:p>
    <w:p>
      <w:pPr>
        <w:spacing w:after="0" w:line="350" w:lineRule="auto"/>
        <w:sectPr>
          <w:pgSz w:w="11910" w:h="16840"/>
          <w:pgMar w:header="0" w:footer="972" w:top="1580" w:bottom="1160" w:left="1360" w:right="0"/>
        </w:sectPr>
      </w:pPr>
    </w:p>
    <w:p>
      <w:pPr>
        <w:pStyle w:val="BodyText"/>
        <w:spacing w:line="350" w:lineRule="auto" w:before="42"/>
        <w:ind w:right="1312" w:firstLine="640"/>
      </w:pPr>
      <w:r>
        <w:rPr/>
        <w:pict>
          <v:shape style="position:absolute;margin-left:14.089746pt;margin-top:401.397156pt;width:576pt;height:48pt;mso-position-horizontal-relative:page;mso-position-vertical-relative:page;z-index:-25208524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（二</w:t>
      </w:r>
      <w:r>
        <w:rPr>
          <w:spacing w:val="-53"/>
          <w:w w:val="95"/>
        </w:rPr>
        <w:t>）</w:t>
      </w:r>
      <w:r>
        <w:rPr>
          <w:spacing w:val="-7"/>
          <w:w w:val="95"/>
        </w:rPr>
        <w:t>全面梳理与决策事项有关的法律、法规、规章和政策， </w:t>
      </w:r>
      <w:r>
        <w:rPr>
          <w:spacing w:val="-7"/>
        </w:rPr>
        <w:t>使决策草案合法合规、与有关政策相衔接</w:t>
      </w:r>
    </w:p>
    <w:p>
      <w:pPr>
        <w:pStyle w:val="BodyText"/>
        <w:spacing w:line="350" w:lineRule="auto" w:before="3"/>
        <w:ind w:right="1471" w:firstLine="640"/>
      </w:pPr>
      <w:r>
        <w:rPr/>
        <w:t>（三）根据需要对决策事项涉及的人财物投入、资源消耗、环境影响等成本和经济、社会、环境效益进行分析预测。</w:t>
      </w:r>
    </w:p>
    <w:p>
      <w:pPr>
        <w:pStyle w:val="BodyText"/>
        <w:spacing w:line="350" w:lineRule="auto" w:before="3"/>
        <w:ind w:right="1312" w:firstLine="640"/>
      </w:pPr>
      <w:r>
        <w:rPr/>
        <w:t>有关方面对决策事项存在较大分歧的，决策承办单位可以提</w:t>
      </w:r>
      <w:r>
        <w:rPr>
          <w:w w:val="95"/>
        </w:rPr>
        <w:t>出两个以上方案，并对各方案的利弊进行分析，提出倾向性意见。</w:t>
      </w:r>
    </w:p>
    <w:p>
      <w:pPr>
        <w:pStyle w:val="BodyText"/>
        <w:spacing w:line="350" w:lineRule="auto" w:before="3"/>
        <w:ind w:right="1471" w:firstLine="640"/>
      </w:pPr>
      <w:r>
        <w:rPr/>
        <w:t>决策承办单位在拟订决策草案过程中，可以委托有关专家或者专业机构进行决策事项的课题研究。</w:t>
      </w:r>
    </w:p>
    <w:p>
      <w:pPr>
        <w:pStyle w:val="BodyText"/>
        <w:tabs>
          <w:tab w:pos="2352" w:val="left" w:leader="none"/>
        </w:tabs>
        <w:spacing w:line="350" w:lineRule="auto" w:before="2"/>
        <w:ind w:right="1472" w:firstLine="640"/>
      </w:pPr>
      <w:r>
        <w:rPr>
          <w:rFonts w:ascii="黑体" w:eastAsia="黑体" w:hint="eastAsia"/>
        </w:rPr>
        <w:t>第十九条</w:t>
        <w:tab/>
      </w:r>
      <w:r>
        <w:rPr/>
        <w:t>拟订涉及市场主体经济活动决策草案</w:t>
      </w:r>
      <w:r>
        <w:rPr>
          <w:spacing w:val="3"/>
        </w:rPr>
        <w:t>的</w:t>
      </w:r>
      <w:r>
        <w:rPr/>
        <w:t>，决策</w:t>
      </w:r>
      <w:r>
        <w:rPr>
          <w:spacing w:val="-13"/>
        </w:rPr>
        <w:t>承</w:t>
      </w:r>
      <w:r>
        <w:rPr/>
        <w:t>办单位应当按规定进行公平竞争审查。</w:t>
      </w:r>
    </w:p>
    <w:p>
      <w:pPr>
        <w:pStyle w:val="BodyText"/>
        <w:tabs>
          <w:tab w:pos="2429" w:val="left" w:leader="none"/>
        </w:tabs>
        <w:spacing w:line="350" w:lineRule="auto" w:before="3"/>
        <w:ind w:right="1305" w:firstLine="640"/>
      </w:pPr>
      <w:r>
        <w:rPr>
          <w:rFonts w:ascii="黑体" w:eastAsia="黑体" w:hint="eastAsia"/>
          <w:spacing w:val="14"/>
        </w:rPr>
        <w:t>第</w:t>
      </w:r>
      <w:r>
        <w:rPr>
          <w:rFonts w:ascii="黑体" w:eastAsia="黑体" w:hint="eastAsia"/>
          <w:spacing w:val="12"/>
        </w:rPr>
        <w:t>二</w:t>
      </w:r>
      <w:r>
        <w:rPr>
          <w:rFonts w:ascii="黑体" w:eastAsia="黑体" w:hint="eastAsia"/>
          <w:spacing w:val="14"/>
        </w:rPr>
        <w:t>十</w:t>
      </w:r>
      <w:r>
        <w:rPr>
          <w:rFonts w:ascii="黑体" w:eastAsia="黑体" w:hint="eastAsia"/>
        </w:rPr>
        <w:t>条</w:t>
        <w:tab/>
      </w:r>
      <w:r>
        <w:rPr>
          <w:spacing w:val="14"/>
        </w:rPr>
        <w:t>决</w:t>
      </w:r>
      <w:r>
        <w:rPr>
          <w:spacing w:val="12"/>
        </w:rPr>
        <w:t>策</w:t>
      </w:r>
      <w:r>
        <w:rPr>
          <w:spacing w:val="14"/>
        </w:rPr>
        <w:t>事项</w:t>
      </w:r>
      <w:r>
        <w:rPr>
          <w:spacing w:val="12"/>
        </w:rPr>
        <w:t>涉</w:t>
      </w:r>
      <w:r>
        <w:rPr>
          <w:spacing w:val="14"/>
        </w:rPr>
        <w:t>及</w:t>
      </w:r>
      <w:r>
        <w:rPr>
          <w:spacing w:val="12"/>
        </w:rPr>
        <w:t>区</w:t>
      </w:r>
      <w:r>
        <w:rPr>
          <w:spacing w:val="14"/>
        </w:rPr>
        <w:t>政府</w:t>
      </w:r>
      <w:r>
        <w:rPr>
          <w:spacing w:val="12"/>
        </w:rPr>
        <w:t>所</w:t>
      </w:r>
      <w:r>
        <w:rPr>
          <w:spacing w:val="14"/>
        </w:rPr>
        <w:t>属各</w:t>
      </w:r>
      <w:r>
        <w:rPr>
          <w:spacing w:val="12"/>
        </w:rPr>
        <w:t>部</w:t>
      </w:r>
      <w:r>
        <w:rPr>
          <w:spacing w:val="14"/>
        </w:rPr>
        <w:t>门</w:t>
      </w:r>
      <w:r>
        <w:rPr>
          <w:spacing w:val="12"/>
        </w:rPr>
        <w:t>、</w:t>
      </w:r>
      <w:r>
        <w:rPr>
          <w:spacing w:val="14"/>
        </w:rPr>
        <w:t>各镇</w:t>
      </w:r>
      <w:r>
        <w:rPr>
          <w:spacing w:val="12"/>
        </w:rPr>
        <w:t>人</w:t>
      </w:r>
      <w:r>
        <w:rPr>
          <w:spacing w:val="14"/>
        </w:rPr>
        <w:t>民</w:t>
      </w:r>
      <w:r>
        <w:rPr/>
        <w:t>政</w:t>
      </w:r>
      <w:r>
        <w:rPr>
          <w:w w:val="95"/>
        </w:rPr>
        <w:t>府</w:t>
      </w:r>
      <w:r>
        <w:rPr>
          <w:spacing w:val="-77"/>
          <w:w w:val="95"/>
        </w:rPr>
        <w:t>、</w:t>
      </w:r>
      <w:r>
        <w:rPr>
          <w:spacing w:val="-12"/>
          <w:w w:val="95"/>
        </w:rPr>
        <w:t>街</w:t>
      </w:r>
      <w:r>
        <w:rPr>
          <w:spacing w:val="-10"/>
          <w:w w:val="95"/>
        </w:rPr>
        <w:t>道</w:t>
      </w:r>
      <w:r>
        <w:rPr>
          <w:spacing w:val="-12"/>
          <w:w w:val="95"/>
        </w:rPr>
        <w:t>办事</w:t>
      </w:r>
      <w:r>
        <w:rPr>
          <w:spacing w:val="-10"/>
          <w:w w:val="95"/>
        </w:rPr>
        <w:t>处</w:t>
      </w:r>
      <w:r>
        <w:rPr>
          <w:spacing w:val="-12"/>
          <w:w w:val="95"/>
        </w:rPr>
        <w:t>职责</w:t>
      </w:r>
      <w:r>
        <w:rPr>
          <w:spacing w:val="-10"/>
          <w:w w:val="95"/>
        </w:rPr>
        <w:t>的</w:t>
      </w:r>
      <w:r>
        <w:rPr>
          <w:spacing w:val="-87"/>
          <w:w w:val="95"/>
        </w:rPr>
        <w:t>，</w:t>
      </w:r>
      <w:r>
        <w:rPr>
          <w:spacing w:val="-12"/>
          <w:w w:val="95"/>
        </w:rPr>
        <w:t>决</w:t>
      </w:r>
      <w:r>
        <w:rPr>
          <w:spacing w:val="-10"/>
          <w:w w:val="95"/>
        </w:rPr>
        <w:t>策</w:t>
      </w:r>
      <w:r>
        <w:rPr>
          <w:spacing w:val="-12"/>
          <w:w w:val="95"/>
        </w:rPr>
        <w:t>承办</w:t>
      </w:r>
      <w:r>
        <w:rPr>
          <w:spacing w:val="-10"/>
          <w:w w:val="95"/>
        </w:rPr>
        <w:t>单</w:t>
      </w:r>
      <w:r>
        <w:rPr>
          <w:spacing w:val="-12"/>
          <w:w w:val="95"/>
        </w:rPr>
        <w:t>位应</w:t>
      </w:r>
      <w:r>
        <w:rPr>
          <w:spacing w:val="-10"/>
          <w:w w:val="95"/>
        </w:rPr>
        <w:t>当</w:t>
      </w:r>
      <w:r>
        <w:rPr>
          <w:spacing w:val="-12"/>
          <w:w w:val="95"/>
        </w:rPr>
        <w:t>采取</w:t>
      </w:r>
      <w:r>
        <w:rPr>
          <w:spacing w:val="-10"/>
          <w:w w:val="95"/>
        </w:rPr>
        <w:t>适</w:t>
      </w:r>
      <w:r>
        <w:rPr>
          <w:spacing w:val="-12"/>
          <w:w w:val="95"/>
        </w:rPr>
        <w:t>当</w:t>
      </w:r>
      <w:r>
        <w:rPr>
          <w:spacing w:val="-10"/>
          <w:w w:val="95"/>
        </w:rPr>
        <w:t>方</w:t>
      </w:r>
      <w:r>
        <w:rPr>
          <w:spacing w:val="-12"/>
          <w:w w:val="95"/>
        </w:rPr>
        <w:t>式征</w:t>
      </w:r>
      <w:r>
        <w:rPr>
          <w:spacing w:val="-10"/>
          <w:w w:val="95"/>
        </w:rPr>
        <w:t>求</w:t>
      </w:r>
      <w:r>
        <w:rPr>
          <w:spacing w:val="-12"/>
          <w:w w:val="95"/>
        </w:rPr>
        <w:t>意</w:t>
      </w:r>
      <w:r>
        <w:rPr>
          <w:spacing w:val="-11"/>
          <w:w w:val="95"/>
        </w:rPr>
        <w:t>见</w:t>
      </w:r>
      <w:r>
        <w:rPr>
          <w:w w:val="95"/>
        </w:rPr>
        <w:t>，  </w:t>
      </w:r>
      <w:r>
        <w:rPr>
          <w:spacing w:val="-10"/>
        </w:rPr>
        <w:t>并</w:t>
      </w:r>
      <w:r>
        <w:rPr>
          <w:spacing w:val="-12"/>
        </w:rPr>
        <w:t>与</w:t>
      </w:r>
      <w:r>
        <w:rPr>
          <w:spacing w:val="-10"/>
        </w:rPr>
        <w:t>其充分</w:t>
      </w:r>
      <w:r>
        <w:rPr>
          <w:spacing w:val="-12"/>
        </w:rPr>
        <w:t>协</w:t>
      </w:r>
      <w:r>
        <w:rPr>
          <w:spacing w:val="-10"/>
        </w:rPr>
        <w:t>商；</w:t>
      </w:r>
      <w:r>
        <w:rPr>
          <w:spacing w:val="-12"/>
        </w:rPr>
        <w:t>不</w:t>
      </w:r>
      <w:r>
        <w:rPr>
          <w:spacing w:val="-10"/>
        </w:rPr>
        <w:t>能取得</w:t>
      </w:r>
      <w:r>
        <w:rPr>
          <w:spacing w:val="-12"/>
        </w:rPr>
        <w:t>一</w:t>
      </w:r>
      <w:r>
        <w:rPr>
          <w:spacing w:val="-10"/>
        </w:rPr>
        <w:t>致意见</w:t>
      </w:r>
      <w:r>
        <w:rPr>
          <w:spacing w:val="-12"/>
        </w:rPr>
        <w:t>的</w:t>
      </w:r>
      <w:r>
        <w:rPr>
          <w:spacing w:val="-10"/>
        </w:rPr>
        <w:t>，应</w:t>
      </w:r>
      <w:r>
        <w:rPr>
          <w:spacing w:val="-12"/>
        </w:rPr>
        <w:t>当</w:t>
      </w:r>
      <w:r>
        <w:rPr>
          <w:spacing w:val="-10"/>
        </w:rPr>
        <w:t>向区政</w:t>
      </w:r>
      <w:r>
        <w:rPr>
          <w:spacing w:val="-12"/>
        </w:rPr>
        <w:t>府</w:t>
      </w:r>
      <w:r>
        <w:rPr>
          <w:spacing w:val="-10"/>
        </w:rPr>
        <w:t>说明</w:t>
      </w:r>
      <w:r>
        <w:rPr>
          <w:spacing w:val="-12"/>
        </w:rPr>
        <w:t>争</w:t>
      </w:r>
      <w:r>
        <w:rPr>
          <w:spacing w:val="-10"/>
        </w:rPr>
        <w:t>议</w:t>
      </w:r>
      <w:r>
        <w:rPr/>
        <w:t>的</w:t>
      </w:r>
      <w:r>
        <w:rPr>
          <w:spacing w:val="-12"/>
        </w:rPr>
        <w:t>主</w:t>
      </w:r>
      <w:r>
        <w:rPr>
          <w:spacing w:val="-10"/>
        </w:rPr>
        <w:t>要</w:t>
      </w:r>
      <w:r>
        <w:rPr>
          <w:spacing w:val="-12"/>
        </w:rPr>
        <w:t>问题</w:t>
      </w:r>
      <w:r>
        <w:rPr>
          <w:spacing w:val="-10"/>
        </w:rPr>
        <w:t>，</w:t>
      </w:r>
      <w:r>
        <w:rPr>
          <w:spacing w:val="-12"/>
        </w:rPr>
        <w:t>有关</w:t>
      </w:r>
      <w:r>
        <w:rPr>
          <w:spacing w:val="-10"/>
        </w:rPr>
        <w:t>单</w:t>
      </w:r>
      <w:r>
        <w:rPr>
          <w:spacing w:val="-12"/>
        </w:rPr>
        <w:t>位的</w:t>
      </w:r>
      <w:r>
        <w:rPr>
          <w:spacing w:val="-10"/>
        </w:rPr>
        <w:t>意</w:t>
      </w:r>
      <w:r>
        <w:rPr>
          <w:spacing w:val="-12"/>
        </w:rPr>
        <w:t>见，</w:t>
      </w:r>
      <w:r>
        <w:rPr>
          <w:spacing w:val="-10"/>
        </w:rPr>
        <w:t>决</w:t>
      </w:r>
      <w:r>
        <w:rPr>
          <w:spacing w:val="-12"/>
        </w:rPr>
        <w:t>策承</w:t>
      </w:r>
      <w:r>
        <w:rPr>
          <w:spacing w:val="-10"/>
        </w:rPr>
        <w:t>办</w:t>
      </w:r>
      <w:r>
        <w:rPr>
          <w:spacing w:val="-12"/>
        </w:rPr>
        <w:t>单位</w:t>
      </w:r>
      <w:r>
        <w:rPr>
          <w:spacing w:val="-10"/>
        </w:rPr>
        <w:t>的</w:t>
      </w:r>
      <w:r>
        <w:rPr>
          <w:spacing w:val="-12"/>
        </w:rPr>
        <w:t>意见</w:t>
      </w:r>
      <w:r>
        <w:rPr>
          <w:spacing w:val="-10"/>
        </w:rPr>
        <w:t>、</w:t>
      </w:r>
      <w:r>
        <w:rPr>
          <w:spacing w:val="-12"/>
        </w:rPr>
        <w:t>理由</w:t>
      </w:r>
      <w:r>
        <w:rPr>
          <w:spacing w:val="-10"/>
        </w:rPr>
        <w:t>和</w:t>
      </w:r>
      <w:r>
        <w:rPr>
          <w:spacing w:val="-12"/>
        </w:rPr>
        <w:t>依据</w:t>
      </w:r>
      <w:r>
        <w:rPr/>
        <w:t>。</w:t>
      </w:r>
    </w:p>
    <w:p>
      <w:pPr>
        <w:pStyle w:val="BodyText"/>
        <w:spacing w:before="3"/>
        <w:ind w:left="0"/>
        <w:rPr>
          <w:sz w:val="47"/>
        </w:rPr>
      </w:pPr>
    </w:p>
    <w:p>
      <w:pPr>
        <w:pStyle w:val="BodyText"/>
        <w:tabs>
          <w:tab w:pos="4272" w:val="left" w:leader="none"/>
        </w:tabs>
        <w:ind w:left="2993"/>
        <w:rPr>
          <w:rFonts w:ascii="黑体" w:eastAsia="黑体" w:hint="eastAsia"/>
        </w:rPr>
      </w:pPr>
      <w:r>
        <w:rPr>
          <w:rFonts w:ascii="黑体" w:eastAsia="黑体" w:hint="eastAsia"/>
        </w:rPr>
        <w:t>第二节</w:t>
        <w:tab/>
        <w:t>公众参与</w:t>
      </w:r>
    </w:p>
    <w:p>
      <w:pPr>
        <w:pStyle w:val="BodyText"/>
        <w:ind w:left="0"/>
        <w:rPr>
          <w:rFonts w:ascii="黑体"/>
        </w:rPr>
      </w:pPr>
    </w:p>
    <w:p>
      <w:pPr>
        <w:pStyle w:val="BodyText"/>
        <w:spacing w:before="9"/>
        <w:ind w:left="0"/>
        <w:rPr>
          <w:rFonts w:ascii="黑体"/>
          <w:sz w:val="29"/>
        </w:rPr>
      </w:pPr>
    </w:p>
    <w:p>
      <w:pPr>
        <w:pStyle w:val="BodyText"/>
        <w:tabs>
          <w:tab w:pos="2674" w:val="left" w:leader="none"/>
        </w:tabs>
        <w:spacing w:line="350" w:lineRule="auto"/>
        <w:ind w:right="1791" w:firstLine="640"/>
      </w:pPr>
      <w:r>
        <w:rPr>
          <w:rFonts w:ascii="黑体" w:eastAsia="黑体" w:hint="eastAsia"/>
        </w:rPr>
        <w:t>第二十一条</w:t>
        <w:tab/>
      </w:r>
      <w:r>
        <w:rPr/>
        <w:t>决策承办单位应当采取便于社会公众参与</w:t>
      </w:r>
      <w:r>
        <w:rPr>
          <w:spacing w:val="-13"/>
        </w:rPr>
        <w:t>的</w:t>
      </w:r>
      <w:r>
        <w:rPr/>
        <w:t>方式充分听取意见，依法不予公开的决策事项除外。</w:t>
      </w:r>
    </w:p>
    <w:p>
      <w:pPr>
        <w:pStyle w:val="BodyText"/>
        <w:tabs>
          <w:tab w:pos="2763" w:val="left" w:leader="none"/>
        </w:tabs>
        <w:spacing w:line="350" w:lineRule="auto" w:before="3"/>
        <w:ind w:right="1312" w:firstLine="640"/>
      </w:pPr>
      <w:r>
        <w:rPr>
          <w:rFonts w:ascii="黑体" w:eastAsia="黑体" w:hint="eastAsia"/>
          <w:spacing w:val="14"/>
        </w:rPr>
        <w:t>第</w:t>
      </w:r>
      <w:r>
        <w:rPr>
          <w:rFonts w:ascii="黑体" w:eastAsia="黑体" w:hint="eastAsia"/>
          <w:spacing w:val="12"/>
        </w:rPr>
        <w:t>二</w:t>
      </w:r>
      <w:r>
        <w:rPr>
          <w:rFonts w:ascii="黑体" w:eastAsia="黑体" w:hint="eastAsia"/>
          <w:spacing w:val="14"/>
        </w:rPr>
        <w:t>十二</w:t>
      </w:r>
      <w:r>
        <w:rPr>
          <w:rFonts w:ascii="黑体" w:eastAsia="黑体" w:hint="eastAsia"/>
        </w:rPr>
        <w:t>条</w:t>
        <w:tab/>
      </w:r>
      <w:r>
        <w:rPr>
          <w:spacing w:val="14"/>
        </w:rPr>
        <w:t>决</w:t>
      </w:r>
      <w:r>
        <w:rPr>
          <w:spacing w:val="12"/>
        </w:rPr>
        <w:t>策</w:t>
      </w:r>
      <w:r>
        <w:rPr>
          <w:spacing w:val="14"/>
        </w:rPr>
        <w:t>承办</w:t>
      </w:r>
      <w:r>
        <w:rPr>
          <w:spacing w:val="12"/>
        </w:rPr>
        <w:t>单</w:t>
      </w:r>
      <w:r>
        <w:rPr>
          <w:spacing w:val="14"/>
        </w:rPr>
        <w:t>位</w:t>
      </w:r>
      <w:r>
        <w:rPr>
          <w:spacing w:val="12"/>
        </w:rPr>
        <w:t>根</w:t>
      </w:r>
      <w:r>
        <w:rPr>
          <w:spacing w:val="14"/>
        </w:rPr>
        <w:t>据决</w:t>
      </w:r>
      <w:r>
        <w:rPr>
          <w:spacing w:val="12"/>
        </w:rPr>
        <w:t>策</w:t>
      </w:r>
      <w:r>
        <w:rPr>
          <w:spacing w:val="14"/>
        </w:rPr>
        <w:t>事项</w:t>
      </w:r>
      <w:r>
        <w:rPr>
          <w:spacing w:val="12"/>
        </w:rPr>
        <w:t>对</w:t>
      </w:r>
      <w:r>
        <w:rPr>
          <w:spacing w:val="14"/>
        </w:rPr>
        <w:t>社</w:t>
      </w:r>
      <w:r>
        <w:rPr>
          <w:spacing w:val="12"/>
        </w:rPr>
        <w:t>会</w:t>
      </w:r>
      <w:r>
        <w:rPr>
          <w:spacing w:val="14"/>
        </w:rPr>
        <w:t>和公</w:t>
      </w:r>
      <w:r>
        <w:rPr>
          <w:spacing w:val="12"/>
        </w:rPr>
        <w:t>众</w:t>
      </w:r>
      <w:r>
        <w:rPr/>
        <w:t>影</w:t>
      </w:r>
      <w:r>
        <w:rPr>
          <w:w w:val="95"/>
        </w:rPr>
        <w:t>响的范围和程度</w:t>
      </w:r>
      <w:r>
        <w:rPr>
          <w:spacing w:val="-80"/>
          <w:w w:val="95"/>
        </w:rPr>
        <w:t>，</w:t>
      </w:r>
      <w:r>
        <w:rPr>
          <w:w w:val="95"/>
        </w:rPr>
        <w:t>可以采取向社会公开征求意见</w:t>
      </w:r>
      <w:r>
        <w:rPr>
          <w:spacing w:val="-80"/>
          <w:w w:val="95"/>
        </w:rPr>
        <w:t>、</w:t>
      </w:r>
      <w:r>
        <w:rPr>
          <w:w w:val="95"/>
        </w:rPr>
        <w:t>书面征求意见、 </w:t>
      </w:r>
      <w:r>
        <w:rPr/>
        <w:t>实地走访、召开座谈会、组织民主协商会、举行听证会、问卷调查、民意调查、网络调查等多种方式广泛听取意见。</w:t>
      </w:r>
    </w:p>
    <w:p>
      <w:pPr>
        <w:spacing w:after="0" w:line="350" w:lineRule="auto"/>
        <w:sectPr>
          <w:pgSz w:w="11910" w:h="16840"/>
          <w:pgMar w:header="0" w:footer="972" w:top="1540" w:bottom="1160" w:left="1360" w:right="0"/>
        </w:sectPr>
      </w:pPr>
    </w:p>
    <w:p>
      <w:pPr>
        <w:pStyle w:val="BodyText"/>
        <w:spacing w:line="350" w:lineRule="auto" w:before="42"/>
        <w:ind w:right="1471" w:firstLine="640"/>
        <w:jc w:val="both"/>
      </w:pPr>
      <w:r>
        <w:rPr/>
        <w:pict>
          <v:shape style="position:absolute;margin-left:14.089746pt;margin-top:401.397156pt;width:576pt;height:48pt;mso-position-horizontal-relative:page;mso-position-vertical-relative:page;z-index:-25208422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决策事项涉及特定群体利益的，决策承办单位应当与相关人</w:t>
      </w:r>
      <w:r>
        <w:rPr>
          <w:w w:val="95"/>
        </w:rPr>
        <w:t>民团体、社会组织以及群众代表进行沟通协商，充分听取相关群 </w:t>
      </w:r>
      <w:r>
        <w:rPr/>
        <w:t>体的意见建议。</w:t>
      </w:r>
    </w:p>
    <w:p>
      <w:pPr>
        <w:pStyle w:val="BodyText"/>
        <w:spacing w:line="350" w:lineRule="auto" w:before="4"/>
        <w:ind w:right="1471" w:firstLine="640"/>
        <w:jc w:val="both"/>
      </w:pPr>
      <w:r>
        <w:rPr>
          <w:rFonts w:ascii="黑体" w:eastAsia="黑体" w:hint="eastAsia"/>
          <w:spacing w:val="25"/>
        </w:rPr>
        <w:t>第二十三条 </w:t>
      </w:r>
      <w:r>
        <w:rPr>
          <w:spacing w:val="-1"/>
        </w:rPr>
        <w:t>决策承办单位将应决策事项，通过政府网站、</w:t>
      </w:r>
      <w:r>
        <w:rPr>
          <w:w w:val="95"/>
        </w:rPr>
        <w:t>政务新媒体或报刊、广播、电视等便于社会公众知晓的方式，向 </w:t>
      </w:r>
      <w:r>
        <w:rPr>
          <w:spacing w:val="-1"/>
        </w:rPr>
        <w:t>社会公开征求意见。公开征求意见期限一般不少于 </w:t>
      </w:r>
      <w:r>
        <w:rPr/>
        <w:t>30</w:t>
      </w:r>
      <w:r>
        <w:rPr>
          <w:spacing w:val="-14"/>
        </w:rPr>
        <w:t> 日；因情况紧急等原因需要缩短期限的，公开征求意见时应当予以说明。</w:t>
      </w:r>
    </w:p>
    <w:p>
      <w:pPr>
        <w:pStyle w:val="BodyText"/>
        <w:spacing w:before="6"/>
        <w:ind w:left="754"/>
      </w:pPr>
      <w:r>
        <w:rPr/>
        <w:t>公开征求意见时向社会公众提供的主要信息包括</w:t>
      </w:r>
    </w:p>
    <w:p>
      <w:pPr>
        <w:pStyle w:val="BodyText"/>
        <w:spacing w:before="190"/>
        <w:ind w:left="754"/>
      </w:pPr>
      <w:r>
        <w:rPr/>
        <w:t>（一）决策草案征求意见稿及其说明材料等</w:t>
      </w:r>
    </w:p>
    <w:p>
      <w:pPr>
        <w:pStyle w:val="BodyText"/>
        <w:spacing w:before="190"/>
        <w:ind w:left="754"/>
      </w:pPr>
      <w:r>
        <w:rPr/>
        <w:t>（二）公众提出意见建议的途径、方式和起止时间</w:t>
      </w:r>
    </w:p>
    <w:p>
      <w:pPr>
        <w:pStyle w:val="BodyText"/>
        <w:spacing w:line="350" w:lineRule="auto" w:before="190"/>
        <w:ind w:left="754" w:right="1471" w:hanging="3"/>
      </w:pPr>
      <w:r>
        <w:rPr>
          <w:w w:val="95"/>
        </w:rPr>
        <w:t>（三）决策承办单位的联系方式，包括电话和电子信箱等。 对于社会公众普遍关心或者专业性、技术性较强的问题，决</w:t>
      </w:r>
    </w:p>
    <w:p>
      <w:pPr>
        <w:pStyle w:val="BodyText"/>
        <w:spacing w:before="3"/>
      </w:pPr>
      <w:r>
        <w:rPr/>
        <w:t>策承办单位可以通过专家访谈等方式进行解释说明。</w:t>
      </w:r>
    </w:p>
    <w:p>
      <w:pPr>
        <w:pStyle w:val="BodyText"/>
        <w:spacing w:line="350" w:lineRule="auto" w:before="190"/>
        <w:ind w:right="1471" w:firstLine="640"/>
        <w:jc w:val="both"/>
      </w:pPr>
      <w:r>
        <w:rPr>
          <w:rFonts w:ascii="黑体" w:eastAsia="黑体" w:hint="eastAsia"/>
          <w:spacing w:val="25"/>
        </w:rPr>
        <w:t>第二十四条 </w:t>
      </w:r>
      <w:r>
        <w:rPr/>
        <w:t>决策事项直接涉及公民、法人、其他组织切身</w:t>
      </w:r>
      <w:r>
        <w:rPr>
          <w:w w:val="95"/>
        </w:rPr>
        <w:t>利益或者存在较大分歧的，决策承办单位可以召开听证会，依据 </w:t>
      </w:r>
      <w:r>
        <w:rPr/>
        <w:t>相关规定实施。</w:t>
      </w:r>
    </w:p>
    <w:p>
      <w:pPr>
        <w:pStyle w:val="BodyText"/>
        <w:spacing w:line="350" w:lineRule="auto" w:before="4"/>
        <w:ind w:right="1307" w:firstLine="640"/>
        <w:jc w:val="both"/>
      </w:pPr>
      <w:r>
        <w:rPr>
          <w:rFonts w:ascii="黑体" w:eastAsia="黑体" w:hint="eastAsia"/>
          <w:spacing w:val="24"/>
        </w:rPr>
        <w:t>第二十五条 </w:t>
      </w:r>
      <w:r>
        <w:rPr>
          <w:spacing w:val="-20"/>
        </w:rPr>
        <w:t>决策承办单位应当全面、客观归纳整理各方面意</w:t>
      </w:r>
      <w:r>
        <w:rPr>
          <w:spacing w:val="-24"/>
          <w:w w:val="95"/>
        </w:rPr>
        <w:t>见，并进行认真研究论证，充分吸收采纳合理意见，完善决策草案。</w:t>
      </w:r>
    </w:p>
    <w:p>
      <w:pPr>
        <w:pStyle w:val="BodyText"/>
        <w:ind w:left="0"/>
        <w:rPr>
          <w:sz w:val="47"/>
        </w:rPr>
      </w:pPr>
    </w:p>
    <w:p>
      <w:pPr>
        <w:pStyle w:val="BodyText"/>
        <w:tabs>
          <w:tab w:pos="4594" w:val="left" w:leader="none"/>
        </w:tabs>
        <w:ind w:left="3312"/>
        <w:rPr>
          <w:rFonts w:ascii="黑体" w:eastAsia="黑体" w:hint="eastAsia"/>
        </w:rPr>
      </w:pPr>
      <w:r>
        <w:rPr>
          <w:rFonts w:ascii="黑体" w:eastAsia="黑体" w:hint="eastAsia"/>
        </w:rPr>
        <w:t>第三节</w:t>
        <w:tab/>
        <w:t>专家论证</w:t>
      </w:r>
    </w:p>
    <w:p>
      <w:pPr>
        <w:pStyle w:val="BodyText"/>
        <w:ind w:left="0"/>
        <w:rPr>
          <w:rFonts w:ascii="黑体"/>
        </w:rPr>
      </w:pPr>
    </w:p>
    <w:p>
      <w:pPr>
        <w:pStyle w:val="BodyText"/>
        <w:spacing w:before="9"/>
        <w:ind w:left="0"/>
        <w:rPr>
          <w:rFonts w:ascii="黑体"/>
          <w:sz w:val="29"/>
        </w:rPr>
      </w:pPr>
    </w:p>
    <w:p>
      <w:pPr>
        <w:pStyle w:val="BodyText"/>
        <w:spacing w:line="350" w:lineRule="auto"/>
        <w:ind w:right="1312" w:firstLine="640"/>
        <w:jc w:val="both"/>
      </w:pPr>
      <w:r>
        <w:rPr>
          <w:rFonts w:ascii="黑体" w:eastAsia="黑体" w:hint="eastAsia"/>
        </w:rPr>
        <w:t>第二十六条 </w:t>
      </w:r>
      <w:r>
        <w:rPr/>
        <w:t>对专业性、技术性较强的决策事项，决策承办</w:t>
      </w:r>
      <w:r>
        <w:rPr>
          <w:w w:val="95"/>
        </w:rPr>
        <w:t>单位应当组织专家、专业机构论证其必要性、可行性、科学性等，</w:t>
      </w:r>
    </w:p>
    <w:p>
      <w:pPr>
        <w:spacing w:after="0" w:line="350" w:lineRule="auto"/>
        <w:jc w:val="both"/>
        <w:sectPr>
          <w:pgSz w:w="11910" w:h="16840"/>
          <w:pgMar w:header="0" w:footer="972" w:top="1540" w:bottom="1160" w:left="1360" w:right="0"/>
        </w:sectPr>
      </w:pPr>
    </w:p>
    <w:p>
      <w:pPr>
        <w:pStyle w:val="BodyText"/>
        <w:spacing w:before="42"/>
      </w:pPr>
      <w:r>
        <w:rPr/>
        <w:pict>
          <v:shape style="position:absolute;margin-left:14.089746pt;margin-top:401.397156pt;width:576pt;height:48pt;mso-position-horizontal-relative:page;mso-position-vertical-relative:page;z-index:-25208320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并提供必要保障。</w:t>
      </w:r>
    </w:p>
    <w:p>
      <w:pPr>
        <w:pStyle w:val="BodyText"/>
        <w:spacing w:line="350" w:lineRule="auto" w:before="190"/>
        <w:ind w:right="1471" w:firstLine="640"/>
        <w:jc w:val="both"/>
      </w:pPr>
      <w:r>
        <w:rPr>
          <w:rFonts w:ascii="黑体" w:eastAsia="黑体" w:hint="eastAsia"/>
        </w:rPr>
        <w:t>第二十七条 </w:t>
      </w:r>
      <w:r>
        <w:rPr/>
        <w:t>区政府可以根据需要建立重大行政决策咨询</w:t>
      </w:r>
      <w:r>
        <w:rPr>
          <w:w w:val="95"/>
        </w:rPr>
        <w:t>论证专家库，也可以使用市级专家库。区政府相关部门可以根据 </w:t>
      </w:r>
      <w:r>
        <w:rPr/>
        <w:t>主管行业特点，建立健全重大行政决策邀请专家咨询论证机制， 广泛吸收各专业领域专家。</w:t>
      </w:r>
    </w:p>
    <w:p>
      <w:pPr>
        <w:pStyle w:val="BodyText"/>
        <w:spacing w:line="350" w:lineRule="auto" w:before="6"/>
        <w:ind w:right="1471" w:firstLine="640"/>
        <w:jc w:val="both"/>
      </w:pPr>
      <w:r>
        <w:rPr>
          <w:rFonts w:ascii="黑体" w:eastAsia="黑体" w:hint="eastAsia"/>
        </w:rPr>
        <w:t>第二十八条 </w:t>
      </w:r>
      <w:r>
        <w:rPr/>
        <w:t>决策承办单位组织专家论证，可以采取论证</w:t>
      </w:r>
      <w:r>
        <w:rPr>
          <w:w w:val="95"/>
        </w:rPr>
        <w:t>会、书面咨询、委托咨询论证等方式，也可委托具有相应专业资 </w:t>
      </w:r>
      <w:r>
        <w:rPr/>
        <w:t>质、具有一定社会公信力的第三方机构进行论证。</w:t>
      </w:r>
    </w:p>
    <w:p>
      <w:pPr>
        <w:pStyle w:val="BodyText"/>
        <w:spacing w:line="350" w:lineRule="auto" w:before="4"/>
        <w:ind w:right="1471" w:firstLine="640"/>
        <w:jc w:val="both"/>
      </w:pPr>
      <w:r>
        <w:rPr>
          <w:w w:val="95"/>
        </w:rPr>
        <w:t>选择专家、专业机构参与论证，应当坚持专业性、代表性和 </w:t>
      </w:r>
      <w:r>
        <w:rPr/>
        <w:t>中立性，注重选择持不同意见的专家、专业机构，不得选择与决策事项有直接利害关系的专家、专业机构。</w:t>
      </w:r>
    </w:p>
    <w:p>
      <w:pPr>
        <w:pStyle w:val="BodyText"/>
        <w:spacing w:line="350" w:lineRule="auto" w:before="4"/>
        <w:ind w:right="1468" w:firstLine="640"/>
        <w:jc w:val="both"/>
      </w:pPr>
      <w:r>
        <w:rPr>
          <w:rFonts w:ascii="黑体" w:eastAsia="黑体" w:hint="eastAsia"/>
        </w:rPr>
        <w:t>第二十九条 </w:t>
      </w:r>
      <w:r>
        <w:rPr/>
        <w:t>专家论证的主要内容，可以根据决策事项的实际需要，对决策的必要性、科学性、可行性、经济社会效益、可能引发的问题及对策、建议等因素开展研究论证。</w:t>
      </w:r>
    </w:p>
    <w:p>
      <w:pPr>
        <w:pStyle w:val="BodyText"/>
        <w:spacing w:line="350" w:lineRule="auto" w:before="4"/>
        <w:ind w:right="1471" w:firstLine="640"/>
        <w:jc w:val="both"/>
      </w:pPr>
      <w:r>
        <w:rPr>
          <w:w w:val="95"/>
        </w:rPr>
        <w:t>专家、专业机构应当独立开展论证工作，客观、公正、科学 </w:t>
      </w:r>
      <w:r>
        <w:rPr/>
        <w:t>地出具署名、盖章的书面论证意见，并对所知悉的国家秘密、商业秘密、个人隐私依法承担保密义务。</w:t>
      </w:r>
    </w:p>
    <w:p>
      <w:pPr>
        <w:pStyle w:val="BodyText"/>
        <w:spacing w:line="350" w:lineRule="auto" w:before="4"/>
        <w:ind w:right="1473" w:firstLine="640"/>
        <w:jc w:val="both"/>
      </w:pPr>
      <w:r>
        <w:rPr>
          <w:rFonts w:ascii="黑体" w:eastAsia="黑体" w:hint="eastAsia"/>
        </w:rPr>
        <w:t>第三十条 </w:t>
      </w:r>
      <w:r>
        <w:rPr/>
        <w:t>决策承办单位应当对专家论证意见汇总整理、研究论证，充分采纳合理意见，完善决策草案。</w:t>
      </w:r>
    </w:p>
    <w:p>
      <w:pPr>
        <w:pStyle w:val="BodyText"/>
        <w:spacing w:before="1"/>
        <w:ind w:left="0"/>
        <w:rPr>
          <w:sz w:val="47"/>
        </w:rPr>
      </w:pPr>
    </w:p>
    <w:p>
      <w:pPr>
        <w:pStyle w:val="BodyText"/>
        <w:tabs>
          <w:tab w:pos="4591" w:val="left" w:leader="none"/>
        </w:tabs>
        <w:ind w:left="3312"/>
        <w:rPr>
          <w:rFonts w:ascii="黑体" w:eastAsia="黑体" w:hint="eastAsia"/>
        </w:rPr>
      </w:pPr>
      <w:r>
        <w:rPr>
          <w:rFonts w:ascii="黑体" w:eastAsia="黑体" w:hint="eastAsia"/>
        </w:rPr>
        <w:t>第四节</w:t>
        <w:tab/>
        <w:t>风险评估</w:t>
      </w:r>
    </w:p>
    <w:p>
      <w:pPr>
        <w:pStyle w:val="BodyText"/>
        <w:ind w:left="0"/>
        <w:rPr>
          <w:rFonts w:ascii="黑体"/>
        </w:rPr>
      </w:pPr>
    </w:p>
    <w:p>
      <w:pPr>
        <w:pStyle w:val="BodyText"/>
        <w:spacing w:before="8"/>
        <w:ind w:left="0"/>
        <w:rPr>
          <w:rFonts w:ascii="黑体"/>
          <w:sz w:val="29"/>
        </w:rPr>
      </w:pPr>
    </w:p>
    <w:p>
      <w:pPr>
        <w:pStyle w:val="BodyText"/>
        <w:tabs>
          <w:tab w:pos="2674" w:val="left" w:leader="none"/>
        </w:tabs>
        <w:ind w:left="754"/>
      </w:pPr>
      <w:r>
        <w:rPr>
          <w:rFonts w:ascii="黑体" w:eastAsia="黑体" w:hint="eastAsia"/>
        </w:rPr>
        <w:t>第三十一条</w:t>
        <w:tab/>
      </w:r>
      <w:r>
        <w:rPr/>
        <w:t>重大行政决策的实施可能对社会稳定、公共安</w:t>
      </w:r>
    </w:p>
    <w:p>
      <w:pPr>
        <w:spacing w:after="0"/>
        <w:sectPr>
          <w:pgSz w:w="11910" w:h="16840"/>
          <w:pgMar w:header="0" w:footer="972" w:top="1540" w:bottom="1160" w:left="1360" w:right="0"/>
        </w:sectPr>
      </w:pPr>
    </w:p>
    <w:p>
      <w:pPr>
        <w:pStyle w:val="BodyText"/>
        <w:spacing w:line="350" w:lineRule="auto" w:before="42"/>
        <w:ind w:right="1423"/>
      </w:pPr>
      <w:r>
        <w:rPr/>
        <w:pict>
          <v:shape style="position:absolute;margin-left:14.089746pt;margin-top:401.397156pt;width:576pt;height:48pt;mso-position-horizontal-relative:page;mso-position-vertical-relative:page;z-index:-25208217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全等方面造成不利影响的，决策承办单位应当对重大行政决策方 </w:t>
      </w:r>
      <w:r>
        <w:rPr/>
        <w:t>案进行社会稳定、环境、经济等方面的风险评估。</w:t>
      </w:r>
    </w:p>
    <w:p>
      <w:pPr>
        <w:pStyle w:val="BodyText"/>
        <w:spacing w:line="350" w:lineRule="auto" w:before="3"/>
        <w:ind w:right="1471" w:firstLine="640"/>
      </w:pPr>
      <w:r>
        <w:rPr/>
        <w:t>按照有关规定已经对有关风险进行评价、评估的，不作重复评估。风险评估可以结合公众参与、专家论证等工作同步组织。</w:t>
      </w:r>
    </w:p>
    <w:p>
      <w:pPr>
        <w:pStyle w:val="BodyText"/>
        <w:tabs>
          <w:tab w:pos="2674" w:val="left" w:leader="none"/>
        </w:tabs>
        <w:spacing w:before="3"/>
        <w:ind w:left="754"/>
      </w:pPr>
      <w:r>
        <w:rPr>
          <w:rFonts w:ascii="黑体" w:eastAsia="黑体" w:hint="eastAsia"/>
        </w:rPr>
        <w:t>第三十二条</w:t>
        <w:tab/>
      </w:r>
      <w:r>
        <w:rPr>
          <w:w w:val="95"/>
        </w:rPr>
        <w:t>区委政法委统筹指导风险评估工作。</w:t>
      </w:r>
    </w:p>
    <w:p>
      <w:pPr>
        <w:pStyle w:val="BodyText"/>
        <w:spacing w:line="350" w:lineRule="auto" w:before="190"/>
        <w:ind w:right="1471" w:firstLine="640"/>
        <w:jc w:val="both"/>
      </w:pPr>
      <w:r>
        <w:rPr/>
        <w:t>决策承办单位具体负责实施风险评估，出具风险评估报告； </w:t>
      </w:r>
      <w:r>
        <w:rPr>
          <w:spacing w:val="-1"/>
          <w:w w:val="95"/>
        </w:rPr>
        <w:t>根据需要也可以委托有资质的第三方专业机构、社会组织提供风 </w:t>
      </w:r>
      <w:r>
        <w:rPr>
          <w:spacing w:val="-1"/>
        </w:rPr>
        <w:t>险评估服务并做好经费保障，由其提出风险评估意见。</w:t>
      </w:r>
    </w:p>
    <w:p>
      <w:pPr>
        <w:pStyle w:val="BodyText"/>
        <w:spacing w:line="350" w:lineRule="auto" w:before="4"/>
        <w:ind w:right="1471" w:firstLine="640"/>
        <w:jc w:val="both"/>
      </w:pPr>
      <w:r>
        <w:rPr>
          <w:rFonts w:ascii="黑体" w:eastAsia="黑体" w:hint="eastAsia"/>
        </w:rPr>
        <w:t>第三十三条 </w:t>
      </w:r>
      <w:r>
        <w:rPr/>
        <w:t>风险评估单位可以就决策事项的下列风险进行评估，并提出相关意见和建议</w:t>
      </w:r>
    </w:p>
    <w:p>
      <w:pPr>
        <w:pStyle w:val="BodyText"/>
        <w:spacing w:line="350" w:lineRule="auto" w:before="3"/>
        <w:ind w:right="1471" w:firstLine="640"/>
      </w:pPr>
      <w:r>
        <w:rPr/>
        <w:t>（一）社会稳定风险，包括可能引发社会公众矛盾纠纷、群体性事件或者其他社会安全事件的情形</w:t>
      </w:r>
    </w:p>
    <w:p>
      <w:pPr>
        <w:pStyle w:val="BodyText"/>
        <w:spacing w:line="350" w:lineRule="auto" w:before="2"/>
        <w:ind w:right="1473" w:firstLine="640"/>
      </w:pPr>
      <w:r>
        <w:rPr>
          <w:w w:val="95"/>
        </w:rPr>
        <w:t>（二）公共安全风险，包括可能造成人身伤亡、财产损害或 </w:t>
      </w:r>
      <w:r>
        <w:rPr/>
        <w:t>者其他较大社会治安隐患的情形</w:t>
      </w:r>
    </w:p>
    <w:p>
      <w:pPr>
        <w:pStyle w:val="BodyText"/>
        <w:spacing w:line="350" w:lineRule="auto" w:before="3"/>
        <w:ind w:right="1472" w:firstLine="640"/>
      </w:pPr>
      <w:r>
        <w:rPr>
          <w:w w:val="95"/>
        </w:rPr>
        <w:t>（三）生态环境风险，包括可能造成重大环境污染、生态环 </w:t>
      </w:r>
      <w:r>
        <w:rPr/>
        <w:t>境和自然资源破坏或者次生自然灾害等不良影响的情形</w:t>
      </w:r>
    </w:p>
    <w:p>
      <w:pPr>
        <w:pStyle w:val="BodyText"/>
        <w:spacing w:line="350" w:lineRule="auto" w:before="3"/>
        <w:ind w:right="1472" w:firstLine="640"/>
        <w:jc w:val="both"/>
      </w:pPr>
      <w:r>
        <w:rPr>
          <w:w w:val="95"/>
        </w:rPr>
        <w:t>（四）财政风险，包括可能造成大额财政资产流失、带来重 大政府性债务的情形，对重大行政决策事项涉及的财政资金的投 </w:t>
      </w:r>
      <w:r>
        <w:rPr/>
        <w:t>入额度、承受能力、成本效益等情况进行分析和评估</w:t>
      </w:r>
    </w:p>
    <w:p>
      <w:pPr>
        <w:pStyle w:val="BodyText"/>
        <w:spacing w:before="4"/>
        <w:ind w:left="754"/>
      </w:pPr>
      <w:r>
        <w:rPr/>
        <w:t>（五</w:t>
      </w:r>
      <w:r>
        <w:rPr>
          <w:spacing w:val="-108"/>
        </w:rPr>
        <w:t>）</w:t>
      </w:r>
      <w:r>
        <w:rPr>
          <w:spacing w:val="-21"/>
        </w:rPr>
        <w:t>舆情风险，包括可能产生大范围严重负面评价的情形等；</w:t>
      </w:r>
    </w:p>
    <w:p>
      <w:pPr>
        <w:pStyle w:val="BodyText"/>
        <w:spacing w:before="190"/>
        <w:ind w:left="754"/>
      </w:pPr>
      <w:r>
        <w:rPr/>
        <w:t>（六）可能引发的其他风险。</w:t>
      </w:r>
    </w:p>
    <w:p>
      <w:pPr>
        <w:pStyle w:val="BodyText"/>
        <w:spacing w:line="350" w:lineRule="auto" w:before="190"/>
        <w:ind w:right="1473" w:firstLine="640"/>
      </w:pPr>
      <w:r>
        <w:rPr>
          <w:w w:val="95"/>
        </w:rPr>
        <w:t>区委网信办、区发展改革委、区财政局、市规划自然资源大 兴分局、区公安分局、区应急局、区生态环境局、区水务局等部</w:t>
      </w:r>
    </w:p>
    <w:p>
      <w:pPr>
        <w:spacing w:after="0" w:line="350" w:lineRule="auto"/>
        <w:sectPr>
          <w:footerReference w:type="default" r:id="rId6"/>
          <w:pgSz w:w="11910" w:h="16840"/>
          <w:pgMar w:footer="972" w:header="0" w:top="1540" w:bottom="1160" w:left="1360" w:right="0"/>
          <w:pgNumType w:start="10"/>
        </w:sectPr>
      </w:pPr>
    </w:p>
    <w:p>
      <w:pPr>
        <w:pStyle w:val="BodyText"/>
        <w:spacing w:before="42"/>
      </w:pPr>
      <w:r>
        <w:rPr/>
        <w:pict>
          <v:shape style="position:absolute;margin-left:14.089746pt;margin-top:401.397156pt;width:576pt;height:48pt;mso-position-horizontal-relative:page;mso-position-vertical-relative:page;z-index:-25208115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门在各自领域出台的有关文件，可以作为风险评估的依据。</w:t>
      </w:r>
    </w:p>
    <w:p>
      <w:pPr>
        <w:pStyle w:val="BodyText"/>
        <w:tabs>
          <w:tab w:pos="2674" w:val="left" w:leader="none"/>
        </w:tabs>
        <w:spacing w:before="190"/>
        <w:ind w:left="754"/>
      </w:pPr>
      <w:r>
        <w:rPr>
          <w:rFonts w:ascii="黑体" w:eastAsia="黑体" w:hint="eastAsia"/>
        </w:rPr>
        <w:t>第三十四条</w:t>
        <w:tab/>
      </w:r>
      <w:r>
        <w:rPr/>
        <w:t>风险评估报告应当包括下列内容</w:t>
      </w:r>
    </w:p>
    <w:p>
      <w:pPr>
        <w:pStyle w:val="BodyText"/>
        <w:spacing w:before="190"/>
        <w:ind w:left="754"/>
      </w:pPr>
      <w:r>
        <w:rPr/>
        <w:t>（一）评估事项和评估过程</w:t>
      </w:r>
    </w:p>
    <w:p>
      <w:pPr>
        <w:pStyle w:val="BodyText"/>
        <w:spacing w:before="190"/>
        <w:ind w:left="754"/>
      </w:pPr>
      <w:r>
        <w:rPr/>
        <w:t>（二）各方意见及其采纳情况</w:t>
      </w:r>
    </w:p>
    <w:p>
      <w:pPr>
        <w:pStyle w:val="BodyText"/>
        <w:spacing w:before="190"/>
        <w:ind w:left="754"/>
      </w:pPr>
      <w:r>
        <w:rPr/>
        <w:t>（三）决策可能引发的风险</w:t>
      </w:r>
    </w:p>
    <w:p>
      <w:pPr>
        <w:pStyle w:val="BodyText"/>
        <w:spacing w:before="190"/>
        <w:ind w:left="754"/>
      </w:pPr>
      <w:r>
        <w:rPr/>
        <w:t>（四）风险评估结论</w:t>
      </w:r>
    </w:p>
    <w:p>
      <w:pPr>
        <w:pStyle w:val="BodyText"/>
        <w:spacing w:before="190"/>
        <w:ind w:left="754"/>
      </w:pPr>
      <w:r>
        <w:rPr/>
        <w:t>（五）风险防范措施和处置预案</w:t>
      </w:r>
    </w:p>
    <w:p>
      <w:pPr>
        <w:pStyle w:val="BodyText"/>
        <w:spacing w:before="190"/>
        <w:ind w:left="754"/>
      </w:pPr>
      <w:r>
        <w:rPr/>
        <w:t>（六）其他需要载明的内容。</w:t>
      </w:r>
    </w:p>
    <w:p>
      <w:pPr>
        <w:pStyle w:val="BodyText"/>
        <w:spacing w:line="350" w:lineRule="auto" w:before="190"/>
        <w:ind w:right="1307" w:firstLine="640"/>
        <w:jc w:val="both"/>
      </w:pPr>
      <w:r>
        <w:rPr>
          <w:rFonts w:ascii="黑体" w:eastAsia="黑体" w:hint="eastAsia"/>
          <w:spacing w:val="9"/>
        </w:rPr>
        <w:t>第三十五条  </w:t>
      </w:r>
      <w:r>
        <w:rPr>
          <w:spacing w:val="11"/>
        </w:rPr>
        <w:t>风险评估结果应当作为重大行政决策的重要依据。决策机关认为风险可控的，可以作出决策；认为风险不可</w:t>
      </w:r>
      <w:r>
        <w:rPr>
          <w:spacing w:val="-22"/>
          <w:w w:val="95"/>
        </w:rPr>
        <w:t>控的，在采取调整决策草案等措施确保风险可控后，可以作出决策。</w:t>
      </w:r>
    </w:p>
    <w:p>
      <w:pPr>
        <w:pStyle w:val="BodyText"/>
        <w:spacing w:before="2"/>
        <w:ind w:left="0"/>
        <w:rPr>
          <w:sz w:val="47"/>
        </w:rPr>
      </w:pPr>
    </w:p>
    <w:p>
      <w:pPr>
        <w:pStyle w:val="BodyText"/>
        <w:tabs>
          <w:tab w:pos="4594" w:val="left" w:leader="none"/>
        </w:tabs>
        <w:ind w:left="3312"/>
        <w:rPr>
          <w:rFonts w:ascii="黑体" w:eastAsia="黑体" w:hint="eastAsia"/>
        </w:rPr>
      </w:pPr>
      <w:r>
        <w:rPr>
          <w:rFonts w:ascii="黑体" w:eastAsia="黑体" w:hint="eastAsia"/>
        </w:rPr>
        <w:t>第四章</w:t>
        <w:tab/>
        <w:t>合法性审查</w:t>
      </w:r>
    </w:p>
    <w:p>
      <w:pPr>
        <w:pStyle w:val="BodyText"/>
        <w:ind w:left="0"/>
        <w:rPr>
          <w:rFonts w:ascii="黑体"/>
        </w:rPr>
      </w:pPr>
    </w:p>
    <w:p>
      <w:pPr>
        <w:pStyle w:val="BodyText"/>
        <w:spacing w:before="8"/>
        <w:ind w:left="0"/>
        <w:rPr>
          <w:rFonts w:ascii="黑体"/>
          <w:sz w:val="29"/>
        </w:rPr>
      </w:pPr>
    </w:p>
    <w:p>
      <w:pPr>
        <w:pStyle w:val="BodyText"/>
        <w:tabs>
          <w:tab w:pos="2763" w:val="left" w:leader="none"/>
        </w:tabs>
        <w:spacing w:line="350" w:lineRule="auto"/>
        <w:ind w:right="1459" w:firstLine="640"/>
        <w:jc w:val="right"/>
      </w:pPr>
      <w:r>
        <w:rPr>
          <w:rFonts w:ascii="黑体" w:eastAsia="黑体" w:hint="eastAsia"/>
          <w:spacing w:val="14"/>
        </w:rPr>
        <w:t>第</w:t>
      </w:r>
      <w:r>
        <w:rPr>
          <w:rFonts w:ascii="黑体" w:eastAsia="黑体" w:hint="eastAsia"/>
          <w:spacing w:val="12"/>
        </w:rPr>
        <w:t>三</w:t>
      </w:r>
      <w:r>
        <w:rPr>
          <w:rFonts w:ascii="黑体" w:eastAsia="黑体" w:hint="eastAsia"/>
          <w:spacing w:val="14"/>
        </w:rPr>
        <w:t>十六</w:t>
      </w:r>
      <w:r>
        <w:rPr>
          <w:rFonts w:ascii="黑体" w:eastAsia="黑体" w:hint="eastAsia"/>
        </w:rPr>
        <w:t>条</w:t>
        <w:tab/>
      </w:r>
      <w:r>
        <w:rPr>
          <w:spacing w:val="14"/>
          <w:w w:val="95"/>
        </w:rPr>
        <w:t>决</w:t>
      </w:r>
      <w:r>
        <w:rPr>
          <w:spacing w:val="12"/>
          <w:w w:val="95"/>
        </w:rPr>
        <w:t>策</w:t>
      </w:r>
      <w:r>
        <w:rPr>
          <w:spacing w:val="14"/>
          <w:w w:val="95"/>
        </w:rPr>
        <w:t>承办</w:t>
      </w:r>
      <w:r>
        <w:rPr>
          <w:spacing w:val="12"/>
          <w:w w:val="95"/>
        </w:rPr>
        <w:t>单</w:t>
      </w:r>
      <w:r>
        <w:rPr>
          <w:spacing w:val="14"/>
          <w:w w:val="95"/>
        </w:rPr>
        <w:t>位</w:t>
      </w:r>
      <w:r>
        <w:rPr>
          <w:spacing w:val="12"/>
          <w:w w:val="95"/>
        </w:rPr>
        <w:t>应</w:t>
      </w:r>
      <w:r>
        <w:rPr>
          <w:spacing w:val="14"/>
          <w:w w:val="95"/>
        </w:rPr>
        <w:t>当在</w:t>
      </w:r>
      <w:r>
        <w:rPr>
          <w:spacing w:val="12"/>
          <w:w w:val="95"/>
        </w:rPr>
        <w:t>履</w:t>
      </w:r>
      <w:r>
        <w:rPr>
          <w:spacing w:val="14"/>
          <w:w w:val="95"/>
        </w:rPr>
        <w:t>行公</w:t>
      </w:r>
      <w:r>
        <w:rPr>
          <w:spacing w:val="12"/>
          <w:w w:val="95"/>
        </w:rPr>
        <w:t>众</w:t>
      </w:r>
      <w:r>
        <w:rPr>
          <w:spacing w:val="14"/>
          <w:w w:val="95"/>
        </w:rPr>
        <w:t>参</w:t>
      </w:r>
      <w:r>
        <w:rPr>
          <w:spacing w:val="12"/>
          <w:w w:val="95"/>
        </w:rPr>
        <w:t>与</w:t>
      </w:r>
      <w:r>
        <w:rPr>
          <w:spacing w:val="14"/>
          <w:w w:val="95"/>
        </w:rPr>
        <w:t>、专</w:t>
      </w:r>
      <w:r>
        <w:rPr>
          <w:spacing w:val="12"/>
          <w:w w:val="95"/>
        </w:rPr>
        <w:t>家</w:t>
      </w:r>
      <w:r>
        <w:rPr>
          <w:w w:val="95"/>
        </w:rPr>
        <w:t>论证、风险评估等法定程序</w:t>
      </w:r>
      <w:r>
        <w:rPr>
          <w:spacing w:val="3"/>
          <w:w w:val="95"/>
        </w:rPr>
        <w:t>后</w:t>
      </w:r>
      <w:r>
        <w:rPr>
          <w:w w:val="95"/>
        </w:rPr>
        <w:t>，由本单位法制工作机构进行合法性 初</w:t>
      </w:r>
      <w:r>
        <w:rPr>
          <w:spacing w:val="-10"/>
          <w:w w:val="95"/>
        </w:rPr>
        <w:t>审</w:t>
      </w:r>
      <w:r>
        <w:rPr>
          <w:spacing w:val="-12"/>
          <w:w w:val="95"/>
        </w:rPr>
        <w:t>，</w:t>
      </w:r>
      <w:r>
        <w:rPr>
          <w:spacing w:val="-10"/>
          <w:w w:val="95"/>
        </w:rPr>
        <w:t>并</w:t>
      </w:r>
      <w:r>
        <w:rPr>
          <w:spacing w:val="-12"/>
          <w:w w:val="95"/>
        </w:rPr>
        <w:t>经</w:t>
      </w:r>
      <w:r>
        <w:rPr>
          <w:spacing w:val="-10"/>
          <w:w w:val="95"/>
        </w:rPr>
        <w:t>本</w:t>
      </w:r>
      <w:r>
        <w:rPr>
          <w:spacing w:val="-12"/>
          <w:w w:val="95"/>
        </w:rPr>
        <w:t>单</w:t>
      </w:r>
      <w:r>
        <w:rPr>
          <w:spacing w:val="-10"/>
          <w:w w:val="95"/>
        </w:rPr>
        <w:t>位</w:t>
      </w:r>
      <w:r>
        <w:rPr>
          <w:spacing w:val="-12"/>
          <w:w w:val="95"/>
        </w:rPr>
        <w:t>集</w:t>
      </w:r>
      <w:r>
        <w:rPr>
          <w:spacing w:val="-10"/>
          <w:w w:val="95"/>
        </w:rPr>
        <w:t>体</w:t>
      </w:r>
      <w:r>
        <w:rPr>
          <w:spacing w:val="-12"/>
          <w:w w:val="95"/>
        </w:rPr>
        <w:t>讨</w:t>
      </w:r>
      <w:r>
        <w:rPr>
          <w:spacing w:val="-10"/>
          <w:w w:val="95"/>
        </w:rPr>
        <w:t>论</w:t>
      </w:r>
      <w:r>
        <w:rPr>
          <w:spacing w:val="-12"/>
          <w:w w:val="95"/>
        </w:rPr>
        <w:t>通</w:t>
      </w:r>
      <w:r>
        <w:rPr>
          <w:spacing w:val="-10"/>
          <w:w w:val="95"/>
        </w:rPr>
        <w:t>过后</w:t>
      </w:r>
      <w:r>
        <w:rPr>
          <w:spacing w:val="-12"/>
          <w:w w:val="95"/>
        </w:rPr>
        <w:t>，</w:t>
      </w:r>
      <w:r>
        <w:rPr>
          <w:spacing w:val="-10"/>
          <w:w w:val="95"/>
        </w:rPr>
        <w:t>将</w:t>
      </w:r>
      <w:r>
        <w:rPr>
          <w:spacing w:val="-12"/>
          <w:w w:val="95"/>
        </w:rPr>
        <w:t>决</w:t>
      </w:r>
      <w:r>
        <w:rPr>
          <w:spacing w:val="-10"/>
          <w:w w:val="95"/>
        </w:rPr>
        <w:t>策</w:t>
      </w:r>
      <w:r>
        <w:rPr>
          <w:spacing w:val="-12"/>
          <w:w w:val="95"/>
        </w:rPr>
        <w:t>草</w:t>
      </w:r>
      <w:r>
        <w:rPr>
          <w:spacing w:val="-10"/>
          <w:w w:val="95"/>
        </w:rPr>
        <w:t>案</w:t>
      </w:r>
      <w:r>
        <w:rPr>
          <w:spacing w:val="-12"/>
          <w:w w:val="95"/>
        </w:rPr>
        <w:t>及</w:t>
      </w:r>
      <w:r>
        <w:rPr>
          <w:spacing w:val="-10"/>
          <w:w w:val="95"/>
        </w:rPr>
        <w:t>相</w:t>
      </w:r>
      <w:r>
        <w:rPr>
          <w:spacing w:val="-12"/>
          <w:w w:val="95"/>
        </w:rPr>
        <w:t>关</w:t>
      </w:r>
      <w:r>
        <w:rPr>
          <w:spacing w:val="-10"/>
          <w:w w:val="95"/>
        </w:rPr>
        <w:t>材料</w:t>
      </w:r>
      <w:r>
        <w:rPr>
          <w:spacing w:val="-12"/>
          <w:w w:val="95"/>
        </w:rPr>
        <w:t>报</w:t>
      </w:r>
      <w:r>
        <w:rPr>
          <w:spacing w:val="-10"/>
          <w:w w:val="95"/>
        </w:rPr>
        <w:t>送</w:t>
      </w:r>
      <w:r>
        <w:rPr>
          <w:w w:val="95"/>
        </w:rPr>
        <w:t>区 </w:t>
      </w:r>
      <w:r>
        <w:rPr>
          <w:spacing w:val="-12"/>
          <w:w w:val="95"/>
        </w:rPr>
        <w:t>司</w:t>
      </w:r>
      <w:r>
        <w:rPr>
          <w:spacing w:val="-10"/>
          <w:w w:val="95"/>
        </w:rPr>
        <w:t>法</w:t>
      </w:r>
      <w:r>
        <w:rPr>
          <w:spacing w:val="-12"/>
          <w:w w:val="95"/>
        </w:rPr>
        <w:t>局进</w:t>
      </w:r>
      <w:r>
        <w:rPr>
          <w:spacing w:val="-10"/>
          <w:w w:val="95"/>
        </w:rPr>
        <w:t>行</w:t>
      </w:r>
      <w:r>
        <w:rPr>
          <w:spacing w:val="-12"/>
          <w:w w:val="95"/>
        </w:rPr>
        <w:t>合法</w:t>
      </w:r>
      <w:r>
        <w:rPr>
          <w:spacing w:val="-10"/>
          <w:w w:val="95"/>
        </w:rPr>
        <w:t>性</w:t>
      </w:r>
      <w:r>
        <w:rPr>
          <w:spacing w:val="-12"/>
          <w:w w:val="95"/>
        </w:rPr>
        <w:t>审查</w:t>
      </w:r>
      <w:r>
        <w:rPr>
          <w:spacing w:val="-10"/>
          <w:w w:val="95"/>
        </w:rPr>
        <w:t>。</w:t>
      </w:r>
      <w:r>
        <w:rPr>
          <w:spacing w:val="-12"/>
          <w:w w:val="95"/>
        </w:rPr>
        <w:t>不得</w:t>
      </w:r>
      <w:r>
        <w:rPr>
          <w:spacing w:val="-10"/>
          <w:w w:val="95"/>
        </w:rPr>
        <w:t>以</w:t>
      </w:r>
      <w:r>
        <w:rPr>
          <w:spacing w:val="-12"/>
          <w:w w:val="95"/>
        </w:rPr>
        <w:t>征求</w:t>
      </w:r>
      <w:r>
        <w:rPr>
          <w:spacing w:val="-10"/>
          <w:w w:val="95"/>
        </w:rPr>
        <w:t>意</w:t>
      </w:r>
      <w:r>
        <w:rPr>
          <w:spacing w:val="-12"/>
          <w:w w:val="95"/>
        </w:rPr>
        <w:t>见等</w:t>
      </w:r>
      <w:r>
        <w:rPr>
          <w:spacing w:val="-10"/>
          <w:w w:val="95"/>
        </w:rPr>
        <w:t>方</w:t>
      </w:r>
      <w:r>
        <w:rPr>
          <w:spacing w:val="-12"/>
          <w:w w:val="95"/>
        </w:rPr>
        <w:t>式代</w:t>
      </w:r>
      <w:r>
        <w:rPr>
          <w:spacing w:val="-10"/>
          <w:w w:val="95"/>
        </w:rPr>
        <w:t>替</w:t>
      </w:r>
      <w:r>
        <w:rPr>
          <w:spacing w:val="-12"/>
          <w:w w:val="95"/>
        </w:rPr>
        <w:t>合法</w:t>
      </w:r>
      <w:r>
        <w:rPr>
          <w:spacing w:val="-10"/>
          <w:w w:val="95"/>
        </w:rPr>
        <w:t>性</w:t>
      </w:r>
      <w:r>
        <w:rPr>
          <w:spacing w:val="-12"/>
          <w:w w:val="95"/>
        </w:rPr>
        <w:t>审查</w:t>
      </w:r>
      <w:r>
        <w:rPr>
          <w:w w:val="95"/>
        </w:rPr>
        <w:t>。 决策草案未经区司法局合法性审查或者经审查不合法的</w:t>
      </w:r>
      <w:r>
        <w:rPr>
          <w:spacing w:val="-3"/>
          <w:w w:val="95"/>
        </w:rPr>
        <w:t>，</w:t>
      </w:r>
      <w:r>
        <w:rPr>
          <w:w w:val="95"/>
        </w:rPr>
        <w:t>不</w:t>
      </w:r>
    </w:p>
    <w:p>
      <w:pPr>
        <w:pStyle w:val="BodyText"/>
        <w:spacing w:before="7"/>
      </w:pPr>
      <w:r>
        <w:rPr>
          <w:w w:val="95"/>
        </w:rPr>
        <w:t>得提交区政府集体讨论。</w:t>
      </w:r>
    </w:p>
    <w:p>
      <w:pPr>
        <w:pStyle w:val="BodyText"/>
        <w:spacing w:line="350" w:lineRule="auto" w:before="190"/>
        <w:ind w:right="1471" w:firstLine="640"/>
      </w:pPr>
      <w:r>
        <w:rPr/>
        <w:t>对国家尚无明确规定的探索性改革决策事项，可以明示法律风险，提交区政府讨论。</w:t>
      </w:r>
    </w:p>
    <w:p>
      <w:pPr>
        <w:pStyle w:val="BodyText"/>
        <w:tabs>
          <w:tab w:pos="2674" w:val="left" w:leader="none"/>
        </w:tabs>
        <w:spacing w:before="3"/>
        <w:ind w:left="754"/>
      </w:pPr>
      <w:r>
        <w:rPr>
          <w:rFonts w:ascii="黑体" w:eastAsia="黑体" w:hint="eastAsia"/>
        </w:rPr>
        <w:t>第三十七条</w:t>
        <w:tab/>
      </w:r>
      <w:r>
        <w:rPr/>
        <w:t>决</w:t>
      </w:r>
      <w:r>
        <w:rPr>
          <w:spacing w:val="-12"/>
        </w:rPr>
        <w:t>策</w:t>
      </w:r>
      <w:r>
        <w:rPr>
          <w:spacing w:val="-10"/>
        </w:rPr>
        <w:t>承</w:t>
      </w:r>
      <w:r>
        <w:rPr>
          <w:spacing w:val="-12"/>
        </w:rPr>
        <w:t>办单</w:t>
      </w:r>
      <w:r>
        <w:rPr>
          <w:spacing w:val="-10"/>
        </w:rPr>
        <w:t>位</w:t>
      </w:r>
      <w:r>
        <w:rPr>
          <w:spacing w:val="-12"/>
        </w:rPr>
        <w:t>组织</w:t>
      </w:r>
      <w:r>
        <w:rPr>
          <w:spacing w:val="-10"/>
        </w:rPr>
        <w:t>内</w:t>
      </w:r>
      <w:r>
        <w:rPr>
          <w:spacing w:val="-12"/>
        </w:rPr>
        <w:t>部合</w:t>
      </w:r>
      <w:r>
        <w:rPr>
          <w:spacing w:val="-10"/>
        </w:rPr>
        <w:t>法</w:t>
      </w:r>
      <w:r>
        <w:rPr>
          <w:spacing w:val="-12"/>
        </w:rPr>
        <w:t>性初</w:t>
      </w:r>
      <w:r>
        <w:rPr>
          <w:spacing w:val="-10"/>
        </w:rPr>
        <w:t>审</w:t>
      </w:r>
      <w:r>
        <w:rPr>
          <w:spacing w:val="-118"/>
        </w:rPr>
        <w:t>，</w:t>
      </w:r>
      <w:r>
        <w:rPr>
          <w:spacing w:val="-12"/>
        </w:rPr>
        <w:t>应</w:t>
      </w:r>
      <w:r>
        <w:rPr>
          <w:spacing w:val="-10"/>
        </w:rPr>
        <w:t>当</w:t>
      </w:r>
      <w:r>
        <w:rPr>
          <w:spacing w:val="-12"/>
        </w:rPr>
        <w:t>充</w:t>
      </w:r>
      <w:r>
        <w:rPr/>
        <w:t>分发</w:t>
      </w:r>
    </w:p>
    <w:p>
      <w:pPr>
        <w:spacing w:after="0"/>
        <w:sectPr>
          <w:pgSz w:w="11910" w:h="16840"/>
          <w:pgMar w:header="0" w:footer="972" w:top="1540" w:bottom="1160" w:left="1360" w:right="0"/>
        </w:sectPr>
      </w:pPr>
    </w:p>
    <w:p>
      <w:pPr>
        <w:pStyle w:val="BodyText"/>
        <w:spacing w:line="350" w:lineRule="auto" w:before="42"/>
        <w:ind w:right="1307"/>
      </w:pPr>
      <w:r>
        <w:rPr/>
        <w:pict>
          <v:shape style="position:absolute;margin-left:14.089746pt;margin-top:401.397156pt;width:576pt;height:48pt;mso-position-horizontal-relative:page;mso-position-vertical-relative:page;z-index:-25208012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24"/>
          <w:w w:val="95"/>
        </w:rPr>
        <w:t>挥政府法律顾问、公职律师在重大行政决策工作中的法治保障作用，  </w:t>
      </w:r>
      <w:r>
        <w:rPr>
          <w:spacing w:val="-12"/>
        </w:rPr>
        <w:t>注重听取法律顾问和公职律师的意见，形成内部合法性审查意见。</w:t>
      </w:r>
    </w:p>
    <w:p>
      <w:pPr>
        <w:pStyle w:val="BodyText"/>
        <w:spacing w:line="350" w:lineRule="auto" w:before="3"/>
        <w:ind w:right="1471" w:firstLine="640"/>
        <w:jc w:val="both"/>
      </w:pPr>
      <w:r>
        <w:rPr>
          <w:rFonts w:ascii="黑体" w:eastAsia="黑体" w:hint="eastAsia"/>
          <w:spacing w:val="25"/>
        </w:rPr>
        <w:t>第三十八条 </w:t>
      </w:r>
      <w:r>
        <w:rPr>
          <w:spacing w:val="-1"/>
        </w:rPr>
        <w:t>决策承办单位报送区司法局合法性审查时，应</w:t>
      </w:r>
      <w:r>
        <w:rPr>
          <w:spacing w:val="-6"/>
        </w:rPr>
        <w:t>当保证必要的审查时间，一般不少于 </w:t>
      </w:r>
      <w:r>
        <w:rPr/>
        <w:t>7</w:t>
      </w:r>
      <w:r>
        <w:rPr>
          <w:spacing w:val="-10"/>
        </w:rPr>
        <w:t> 个工作日。有特殊要求的按照相关规定办理。</w:t>
      </w:r>
    </w:p>
    <w:p>
      <w:pPr>
        <w:pStyle w:val="BodyText"/>
        <w:spacing w:line="350" w:lineRule="auto" w:before="4"/>
        <w:ind w:right="1473" w:firstLine="640"/>
        <w:jc w:val="both"/>
      </w:pPr>
      <w:r>
        <w:rPr>
          <w:rFonts w:ascii="黑体" w:eastAsia="黑体" w:hint="eastAsia"/>
        </w:rPr>
        <w:t>第三十九条 </w:t>
      </w:r>
      <w:r>
        <w:rPr/>
        <w:t>决策承办单位报送区司法局合法性审查时，应当一并报送下列材料，并对材料的真实性、完整性负责</w:t>
      </w:r>
    </w:p>
    <w:p>
      <w:pPr>
        <w:pStyle w:val="BodyText"/>
        <w:spacing w:line="350" w:lineRule="auto" w:before="3"/>
        <w:ind w:right="1312" w:firstLine="640"/>
        <w:jc w:val="both"/>
      </w:pPr>
      <w:r>
        <w:rPr/>
        <w:t>（一）送审函、决策草案及起草说明（制定背景、行政管理实践、集体讨论或者领导批示指示情况等内容，并重点说明有关</w:t>
      </w:r>
      <w:r>
        <w:rPr>
          <w:w w:val="99"/>
        </w:rPr>
        <w:t>创新、细化完善或者与上位法、上级政策文件不尽一致的内容</w:t>
      </w:r>
      <w:r>
        <w:rPr>
          <w:spacing w:val="-159"/>
          <w:w w:val="99"/>
        </w:rPr>
        <w:t>）</w:t>
      </w:r>
      <w:r>
        <w:rPr>
          <w:w w:val="99"/>
        </w:rPr>
        <w:t>；</w:t>
      </w:r>
    </w:p>
    <w:p>
      <w:pPr>
        <w:pStyle w:val="BodyText"/>
        <w:spacing w:before="4"/>
        <w:ind w:left="754"/>
      </w:pPr>
      <w:r>
        <w:rPr/>
        <w:t>（二）有关职能部门意见及其采纳情况</w:t>
      </w:r>
    </w:p>
    <w:p>
      <w:pPr>
        <w:pStyle w:val="BodyText"/>
        <w:spacing w:line="350" w:lineRule="auto" w:before="190"/>
        <w:ind w:right="1468" w:firstLine="640"/>
        <w:jc w:val="both"/>
      </w:pPr>
      <w:r>
        <w:rPr/>
        <w:t>（三） 决策事项涉及的职责权限和决策内容相关法律、法规、规章和政策依据，起草单位应当提供相关依据全文，指明具体条款、段落，并与送审稿具体内容相对应；根据需要可以对依据引用情况作出说明</w:t>
      </w:r>
    </w:p>
    <w:p>
      <w:pPr>
        <w:pStyle w:val="BodyText"/>
        <w:spacing w:line="350" w:lineRule="auto" w:before="6"/>
        <w:ind w:right="1474" w:firstLine="640"/>
      </w:pPr>
      <w:r>
        <w:rPr>
          <w:w w:val="95"/>
        </w:rPr>
        <w:t>（四）履行公众参与、专家论证、风险评估证明材料以及相 </w:t>
      </w:r>
      <w:r>
        <w:rPr/>
        <w:t>关意见的采纳情况说明</w:t>
      </w:r>
    </w:p>
    <w:p>
      <w:pPr>
        <w:pStyle w:val="BodyText"/>
        <w:spacing w:before="2"/>
        <w:ind w:left="754"/>
      </w:pPr>
      <w:r>
        <w:rPr/>
        <w:t>（五）决策承办单位内部合法性审查意见</w:t>
      </w:r>
    </w:p>
    <w:p>
      <w:pPr>
        <w:pStyle w:val="BodyText"/>
        <w:spacing w:before="190"/>
        <w:ind w:left="754"/>
      </w:pPr>
      <w:r>
        <w:rPr/>
        <w:t>（六）决策承办单位集体讨论会议纪要</w:t>
      </w:r>
    </w:p>
    <w:p>
      <w:pPr>
        <w:pStyle w:val="BodyText"/>
        <w:spacing w:before="190"/>
        <w:ind w:left="754"/>
      </w:pPr>
      <w:r>
        <w:rPr/>
        <w:t>（七）按照有关规定履行公平竞争审查等程序的证明材料；</w:t>
      </w:r>
    </w:p>
    <w:p>
      <w:pPr>
        <w:pStyle w:val="BodyText"/>
        <w:spacing w:before="190"/>
        <w:ind w:left="754"/>
      </w:pPr>
      <w:r>
        <w:rPr/>
        <w:t>（八）区司法局进行合法性审查需要的其他材料。</w:t>
      </w:r>
    </w:p>
    <w:p>
      <w:pPr>
        <w:pStyle w:val="BodyText"/>
        <w:spacing w:line="350" w:lineRule="auto" w:before="190"/>
        <w:ind w:right="1473" w:firstLine="640"/>
      </w:pPr>
      <w:r>
        <w:rPr>
          <w:spacing w:val="-5"/>
        </w:rPr>
        <w:t>报送材料不符合要求的，决策承办单位应当在 </w:t>
      </w:r>
      <w:r>
        <w:rPr/>
        <w:t>3</w:t>
      </w:r>
      <w:r>
        <w:rPr>
          <w:spacing w:val="-15"/>
        </w:rPr>
        <w:t> 个工作日内补送，补送时间不计算在合法性审查期限内。</w:t>
      </w:r>
    </w:p>
    <w:p>
      <w:pPr>
        <w:spacing w:after="0" w:line="350" w:lineRule="auto"/>
        <w:sectPr>
          <w:pgSz w:w="11910" w:h="16840"/>
          <w:pgMar w:header="0" w:footer="972" w:top="1540" w:bottom="1160" w:left="1360" w:right="0"/>
        </w:sectPr>
      </w:pPr>
    </w:p>
    <w:p>
      <w:pPr>
        <w:pStyle w:val="BodyText"/>
        <w:tabs>
          <w:tab w:pos="2352" w:val="left" w:leader="none"/>
        </w:tabs>
        <w:spacing w:before="42"/>
        <w:ind w:left="754"/>
      </w:pPr>
      <w:r>
        <w:rPr/>
        <w:pict>
          <v:shape style="position:absolute;margin-left:14.089746pt;margin-top:401.397156pt;width:576pt;height:48pt;mso-position-horizontal-relative:page;mso-position-vertical-relative:page;z-index:-25207910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rFonts w:ascii="黑体" w:eastAsia="黑体" w:hint="eastAsia"/>
        </w:rPr>
        <w:t>第四十条</w:t>
        <w:tab/>
      </w:r>
      <w:r>
        <w:rPr/>
        <w:t>合法性审查的内容包括</w:t>
      </w:r>
    </w:p>
    <w:p>
      <w:pPr>
        <w:pStyle w:val="BodyText"/>
        <w:spacing w:line="350" w:lineRule="auto" w:before="190"/>
        <w:ind w:right="1471" w:firstLine="640"/>
      </w:pPr>
      <w:r>
        <w:rPr/>
        <w:t>（一）主体、权限审查：决策事项是否符合区政府及涉及部门的职责权限。</w:t>
      </w:r>
    </w:p>
    <w:p>
      <w:pPr>
        <w:pStyle w:val="BodyText"/>
        <w:spacing w:line="350" w:lineRule="auto" w:before="3"/>
        <w:ind w:right="1471" w:firstLine="640"/>
      </w:pPr>
      <w:r>
        <w:rPr/>
        <w:t>（二）内容审查：决策草案的内容，是否符合法律、法规、规章和国家、北京市有关政策的规定。</w:t>
      </w:r>
    </w:p>
    <w:p>
      <w:pPr>
        <w:pStyle w:val="BodyText"/>
        <w:spacing w:before="3"/>
        <w:ind w:left="754"/>
      </w:pPr>
      <w:r>
        <w:rPr/>
        <w:t>（三）程序审查：草案的形成是否履行相关法定程序。</w:t>
      </w:r>
    </w:p>
    <w:p>
      <w:pPr>
        <w:pStyle w:val="BodyText"/>
        <w:tabs>
          <w:tab w:pos="2763" w:val="left" w:leader="none"/>
        </w:tabs>
        <w:spacing w:line="350" w:lineRule="auto" w:before="190"/>
        <w:ind w:right="1312" w:firstLine="640"/>
      </w:pPr>
      <w:r>
        <w:rPr>
          <w:rFonts w:ascii="黑体" w:eastAsia="黑体" w:hint="eastAsia"/>
          <w:spacing w:val="14"/>
        </w:rPr>
        <w:t>第</w:t>
      </w:r>
      <w:r>
        <w:rPr>
          <w:rFonts w:ascii="黑体" w:eastAsia="黑体" w:hint="eastAsia"/>
          <w:spacing w:val="12"/>
        </w:rPr>
        <w:t>四</w:t>
      </w:r>
      <w:r>
        <w:rPr>
          <w:rFonts w:ascii="黑体" w:eastAsia="黑体" w:hint="eastAsia"/>
          <w:spacing w:val="14"/>
        </w:rPr>
        <w:t>十一</w:t>
      </w:r>
      <w:r>
        <w:rPr>
          <w:rFonts w:ascii="黑体" w:eastAsia="黑体" w:hint="eastAsia"/>
        </w:rPr>
        <w:t>条</w:t>
        <w:tab/>
      </w:r>
      <w:r>
        <w:rPr>
          <w:spacing w:val="14"/>
        </w:rPr>
        <w:t>在</w:t>
      </w:r>
      <w:r>
        <w:rPr>
          <w:spacing w:val="12"/>
        </w:rPr>
        <w:t>审</w:t>
      </w:r>
      <w:r>
        <w:rPr>
          <w:spacing w:val="14"/>
        </w:rPr>
        <w:t>查中</w:t>
      </w:r>
      <w:r>
        <w:rPr>
          <w:spacing w:val="12"/>
        </w:rPr>
        <w:t>发</w:t>
      </w:r>
      <w:r>
        <w:rPr>
          <w:spacing w:val="14"/>
        </w:rPr>
        <w:t>现</w:t>
      </w:r>
      <w:r>
        <w:rPr>
          <w:spacing w:val="12"/>
        </w:rPr>
        <w:t>重</w:t>
      </w:r>
      <w:r>
        <w:rPr>
          <w:spacing w:val="14"/>
        </w:rPr>
        <w:t>大疑</w:t>
      </w:r>
      <w:r>
        <w:rPr>
          <w:spacing w:val="12"/>
        </w:rPr>
        <w:t>难</w:t>
      </w:r>
      <w:r>
        <w:rPr>
          <w:spacing w:val="14"/>
        </w:rPr>
        <w:t>问题</w:t>
      </w:r>
      <w:r>
        <w:rPr>
          <w:spacing w:val="12"/>
        </w:rPr>
        <w:t>或</w:t>
      </w:r>
      <w:r>
        <w:rPr>
          <w:spacing w:val="14"/>
        </w:rPr>
        <w:t>专</w:t>
      </w:r>
      <w:r>
        <w:rPr>
          <w:spacing w:val="12"/>
        </w:rPr>
        <w:t>业</w:t>
      </w:r>
      <w:r>
        <w:rPr>
          <w:spacing w:val="14"/>
        </w:rPr>
        <w:t>技术</w:t>
      </w:r>
      <w:r>
        <w:rPr>
          <w:spacing w:val="12"/>
        </w:rPr>
        <w:t>问</w:t>
      </w:r>
      <w:r>
        <w:rPr/>
        <w:t>题</w:t>
      </w:r>
      <w:r>
        <w:rPr>
          <w:w w:val="95"/>
        </w:rPr>
        <w:t>需深入征求意见</w:t>
      </w:r>
      <w:r>
        <w:rPr>
          <w:spacing w:val="3"/>
          <w:w w:val="95"/>
        </w:rPr>
        <w:t>的</w:t>
      </w:r>
      <w:r>
        <w:rPr>
          <w:spacing w:val="-82"/>
          <w:w w:val="95"/>
        </w:rPr>
        <w:t>，</w:t>
      </w:r>
      <w:r>
        <w:rPr>
          <w:w w:val="95"/>
        </w:rPr>
        <w:t>区司法局可以邀请决策承办单</w:t>
      </w:r>
      <w:r>
        <w:rPr>
          <w:spacing w:val="3"/>
          <w:w w:val="95"/>
        </w:rPr>
        <w:t>位</w:t>
      </w:r>
      <w:r>
        <w:rPr>
          <w:spacing w:val="-80"/>
          <w:w w:val="95"/>
        </w:rPr>
        <w:t>、</w:t>
      </w:r>
      <w:r>
        <w:rPr>
          <w:w w:val="95"/>
        </w:rPr>
        <w:t>相关部门、 </w:t>
      </w:r>
      <w:r>
        <w:rPr/>
        <w:t>专家学者、法律顾问、公职律师参与论证和审</w:t>
      </w:r>
      <w:r>
        <w:rPr>
          <w:spacing w:val="3"/>
        </w:rPr>
        <w:t>查</w:t>
      </w:r>
      <w:r>
        <w:rPr/>
        <w:t>。决策承办单位及其他相关部门应当积极配合区司法局做好合法性审查工作。</w:t>
      </w:r>
    </w:p>
    <w:p>
      <w:pPr>
        <w:pStyle w:val="BodyText"/>
        <w:spacing w:line="350" w:lineRule="auto" w:before="5"/>
        <w:ind w:right="1471" w:firstLine="640"/>
        <w:jc w:val="both"/>
      </w:pPr>
      <w:r>
        <w:rPr>
          <w:rFonts w:ascii="黑体" w:eastAsia="黑体" w:hint="eastAsia"/>
          <w:spacing w:val="25"/>
        </w:rPr>
        <w:t>第四十二条 </w:t>
      </w:r>
      <w:r>
        <w:rPr/>
        <w:t>区司法局应当提出书面合法性审查意见。决策</w:t>
      </w:r>
      <w:r>
        <w:rPr>
          <w:spacing w:val="-1"/>
          <w:w w:val="95"/>
        </w:rPr>
        <w:t>承办单位根据审查意见对决策草案进行修改或者补充；对合法性 审查意见，决策承办单位与区司法局存在重大分歧，经协调仍未 </w:t>
      </w:r>
      <w:r>
        <w:rPr>
          <w:spacing w:val="-1"/>
        </w:rPr>
        <w:t>能达成一致的，决策承办单位应当在提交区政府讨论时详细说明情况、理由和依据。</w:t>
      </w:r>
    </w:p>
    <w:p>
      <w:pPr>
        <w:pStyle w:val="BodyText"/>
        <w:spacing w:before="5"/>
        <w:ind w:left="0"/>
        <w:rPr>
          <w:sz w:val="47"/>
        </w:rPr>
      </w:pPr>
    </w:p>
    <w:p>
      <w:pPr>
        <w:pStyle w:val="BodyText"/>
        <w:tabs>
          <w:tab w:pos="4594" w:val="left" w:leader="none"/>
        </w:tabs>
        <w:ind w:left="3312"/>
        <w:rPr>
          <w:rFonts w:ascii="黑体" w:eastAsia="黑体" w:hint="eastAsia"/>
        </w:rPr>
      </w:pPr>
      <w:r>
        <w:rPr>
          <w:rFonts w:ascii="黑体" w:eastAsia="黑体" w:hint="eastAsia"/>
        </w:rPr>
        <w:t>第五章</w:t>
        <w:tab/>
        <w:t>集体讨论决定</w:t>
      </w:r>
    </w:p>
    <w:p>
      <w:pPr>
        <w:pStyle w:val="BodyText"/>
        <w:ind w:left="0"/>
        <w:rPr>
          <w:rFonts w:ascii="黑体"/>
        </w:rPr>
      </w:pPr>
    </w:p>
    <w:p>
      <w:pPr>
        <w:pStyle w:val="BodyText"/>
        <w:spacing w:before="8"/>
        <w:ind w:left="0"/>
        <w:rPr>
          <w:rFonts w:ascii="黑体"/>
          <w:sz w:val="29"/>
        </w:rPr>
      </w:pPr>
    </w:p>
    <w:p>
      <w:pPr>
        <w:pStyle w:val="BodyText"/>
        <w:tabs>
          <w:tab w:pos="2674" w:val="left" w:leader="none"/>
        </w:tabs>
        <w:spacing w:line="350" w:lineRule="auto"/>
        <w:ind w:right="1473" w:firstLine="640"/>
      </w:pPr>
      <w:r>
        <w:rPr>
          <w:rFonts w:ascii="黑体" w:eastAsia="黑体" w:hint="eastAsia"/>
        </w:rPr>
        <w:t>第四十三条</w:t>
        <w:tab/>
      </w:r>
      <w:r>
        <w:rPr/>
        <w:t>提请区政府审议的决策事项</w:t>
      </w:r>
      <w:r>
        <w:rPr>
          <w:spacing w:val="-3"/>
        </w:rPr>
        <w:t>，</w:t>
      </w:r>
      <w:r>
        <w:rPr/>
        <w:t>决策承办单位</w:t>
      </w:r>
      <w:r>
        <w:rPr>
          <w:spacing w:val="-11"/>
        </w:rPr>
        <w:t>应</w:t>
      </w:r>
      <w:r>
        <w:rPr/>
        <w:t>当向区政府办公室提交以下材料</w:t>
      </w:r>
    </w:p>
    <w:p>
      <w:pPr>
        <w:pStyle w:val="BodyText"/>
        <w:spacing w:line="350" w:lineRule="auto" w:before="3"/>
        <w:ind w:right="1307" w:firstLine="640"/>
      </w:pPr>
      <w:r>
        <w:rPr/>
        <w:t>（一</w:t>
      </w:r>
      <w:r>
        <w:rPr>
          <w:spacing w:val="-15"/>
        </w:rPr>
        <w:t>）提请讨论决策草案的请示、决策草案及起草说明，决策</w:t>
      </w:r>
      <w:r>
        <w:rPr>
          <w:spacing w:val="-22"/>
          <w:w w:val="95"/>
        </w:rPr>
        <w:t>草案涉及市场主体经济活动的，应当包含公平竞争审查的有关情况。</w:t>
      </w:r>
    </w:p>
    <w:p>
      <w:pPr>
        <w:pStyle w:val="BodyText"/>
        <w:spacing w:before="3"/>
        <w:ind w:left="754"/>
      </w:pPr>
      <w:r>
        <w:rPr/>
        <w:t>（二）法律、法规、规章及相关政策依据</w:t>
      </w:r>
    </w:p>
    <w:p>
      <w:pPr>
        <w:spacing w:after="0"/>
        <w:sectPr>
          <w:pgSz w:w="11910" w:h="16840"/>
          <w:pgMar w:header="0" w:footer="972" w:top="1540" w:bottom="1160" w:left="1360" w:right="0"/>
        </w:sectPr>
      </w:pPr>
    </w:p>
    <w:p>
      <w:pPr>
        <w:pStyle w:val="BodyText"/>
        <w:spacing w:line="350" w:lineRule="auto" w:before="42"/>
        <w:ind w:right="1414" w:firstLine="640"/>
      </w:pPr>
      <w:r>
        <w:rPr/>
        <w:pict>
          <v:shape style="position:absolute;margin-left:14.089746pt;margin-top:401.397156pt;width:576pt;height:48pt;mso-position-horizontal-relative:page;mso-position-vertical-relative:page;z-index:-25207808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（三）</w:t>
      </w:r>
      <w:r>
        <w:rPr>
          <w:spacing w:val="-12"/>
          <w:w w:val="95"/>
        </w:rPr>
        <w:t>决策履行程序相关材料，包括社会公众参与相关情况、 </w:t>
      </w:r>
      <w:r>
        <w:rPr>
          <w:spacing w:val="-26"/>
        </w:rPr>
        <w:t>专家论证意见及研究采纳情况、风险评估报告、合法性审查意见等</w:t>
      </w:r>
    </w:p>
    <w:p>
      <w:pPr>
        <w:pStyle w:val="BodyText"/>
        <w:spacing w:line="350" w:lineRule="auto" w:before="3"/>
        <w:ind w:right="1473" w:firstLine="640"/>
      </w:pPr>
      <w:r>
        <w:rPr>
          <w:w w:val="95"/>
        </w:rPr>
        <w:t>（四）向相关单位征求意见及采纳情况、意见分歧协调等情 </w:t>
      </w:r>
      <w:r>
        <w:rPr/>
        <w:t>况说明材料</w:t>
      </w:r>
    </w:p>
    <w:p>
      <w:pPr>
        <w:pStyle w:val="BodyText"/>
        <w:spacing w:before="3"/>
        <w:ind w:left="754"/>
      </w:pPr>
      <w:r>
        <w:rPr/>
        <w:t>（五）其他需要报送的材料。</w:t>
      </w:r>
    </w:p>
    <w:p>
      <w:pPr>
        <w:pStyle w:val="BodyText"/>
        <w:spacing w:line="350" w:lineRule="auto" w:before="190"/>
        <w:ind w:right="1472" w:firstLine="640"/>
        <w:jc w:val="both"/>
      </w:pPr>
      <w:r>
        <w:rPr/>
        <w:t>区政府办公室对决策承办单位提交的材料进行审查，对属于重大行政决策的事项而未履行重大行政决策程序的议题，不予安排会议审议。</w:t>
      </w:r>
    </w:p>
    <w:p>
      <w:pPr>
        <w:pStyle w:val="BodyText"/>
        <w:spacing w:line="350" w:lineRule="auto" w:before="4"/>
        <w:ind w:right="1471" w:firstLine="640"/>
        <w:jc w:val="both"/>
      </w:pPr>
      <w:r>
        <w:rPr>
          <w:rFonts w:ascii="黑体" w:eastAsia="黑体" w:hint="eastAsia"/>
          <w:spacing w:val="9"/>
        </w:rPr>
        <w:t>第四十四条 </w:t>
      </w:r>
      <w:r>
        <w:rPr>
          <w:spacing w:val="11"/>
        </w:rPr>
        <w:t>根据决策事项的审议需要，区政府安排会议</w:t>
      </w:r>
      <w:r>
        <w:rPr>
          <w:w w:val="95"/>
        </w:rPr>
        <w:t>时，可以邀请区人大常委会、区政协派员列席会议，也可以根据 </w:t>
      </w:r>
      <w:r>
        <w:rPr/>
        <w:t>需要邀请利益相关方、公众代表、专家、媒体、基层群众自治组织代表等列席会议，提高公众参与度。</w:t>
      </w:r>
    </w:p>
    <w:p>
      <w:pPr>
        <w:pStyle w:val="BodyText"/>
        <w:spacing w:line="350" w:lineRule="auto" w:before="5"/>
        <w:ind w:right="1471" w:firstLine="640"/>
        <w:jc w:val="both"/>
      </w:pPr>
      <w:r>
        <w:rPr>
          <w:rFonts w:ascii="黑体" w:eastAsia="黑体" w:hint="eastAsia"/>
        </w:rPr>
        <w:t>第四十五条 </w:t>
      </w:r>
      <w:r>
        <w:rPr/>
        <w:t>决策草案应当经区政府常务会议或者全体会议讨论，由区长在集体讨论基础上作出通过、不予通过、修改、再次讨论或者暂缓的决定。</w:t>
      </w:r>
    </w:p>
    <w:p>
      <w:pPr>
        <w:pStyle w:val="BodyText"/>
        <w:spacing w:line="350" w:lineRule="auto" w:before="5"/>
        <w:ind w:right="1473" w:firstLine="640"/>
        <w:jc w:val="both"/>
      </w:pPr>
      <w:r>
        <w:rPr>
          <w:w w:val="95"/>
        </w:rPr>
        <w:t>讨论决策草案，会议组成人员应当充分发表意见，区长最后 发表意见。区长拟作出的决定与会议组成人员多数人的意见不一 </w:t>
      </w:r>
      <w:r>
        <w:rPr/>
        <w:t>致的，应当在会上说明理由。</w:t>
      </w:r>
    </w:p>
    <w:p>
      <w:pPr>
        <w:pStyle w:val="BodyText"/>
        <w:spacing w:before="4"/>
        <w:ind w:left="754"/>
      </w:pPr>
      <w:r>
        <w:rPr/>
        <w:t>集体讨论决定情况应当如实记录，不同意见应当如实载明。</w:t>
      </w:r>
    </w:p>
    <w:p>
      <w:pPr>
        <w:pStyle w:val="BodyText"/>
        <w:tabs>
          <w:tab w:pos="2763" w:val="left" w:leader="none"/>
        </w:tabs>
        <w:spacing w:line="350" w:lineRule="auto" w:before="190"/>
        <w:ind w:right="1471" w:firstLine="640"/>
      </w:pPr>
      <w:r>
        <w:rPr>
          <w:rFonts w:ascii="黑体" w:eastAsia="黑体" w:hint="eastAsia"/>
          <w:spacing w:val="14"/>
        </w:rPr>
        <w:t>第</w:t>
      </w:r>
      <w:r>
        <w:rPr>
          <w:rFonts w:ascii="黑体" w:eastAsia="黑体" w:hint="eastAsia"/>
          <w:spacing w:val="12"/>
        </w:rPr>
        <w:t>四</w:t>
      </w:r>
      <w:r>
        <w:rPr>
          <w:rFonts w:ascii="黑体" w:eastAsia="黑体" w:hint="eastAsia"/>
          <w:spacing w:val="14"/>
        </w:rPr>
        <w:t>十六</w:t>
      </w:r>
      <w:r>
        <w:rPr>
          <w:rFonts w:ascii="黑体" w:eastAsia="黑体" w:hint="eastAsia"/>
        </w:rPr>
        <w:t>条</w:t>
        <w:tab/>
      </w:r>
      <w:r>
        <w:rPr>
          <w:spacing w:val="14"/>
          <w:w w:val="95"/>
        </w:rPr>
        <w:t>重</w:t>
      </w:r>
      <w:r>
        <w:rPr>
          <w:spacing w:val="12"/>
          <w:w w:val="95"/>
        </w:rPr>
        <w:t>大</w:t>
      </w:r>
      <w:r>
        <w:rPr>
          <w:spacing w:val="14"/>
          <w:w w:val="95"/>
        </w:rPr>
        <w:t>行政</w:t>
      </w:r>
      <w:r>
        <w:rPr>
          <w:spacing w:val="12"/>
          <w:w w:val="95"/>
        </w:rPr>
        <w:t>决</w:t>
      </w:r>
      <w:r>
        <w:rPr>
          <w:spacing w:val="14"/>
          <w:w w:val="95"/>
        </w:rPr>
        <w:t>策</w:t>
      </w:r>
      <w:r>
        <w:rPr>
          <w:spacing w:val="12"/>
          <w:w w:val="95"/>
        </w:rPr>
        <w:t>出</w:t>
      </w:r>
      <w:r>
        <w:rPr>
          <w:spacing w:val="14"/>
          <w:w w:val="95"/>
        </w:rPr>
        <w:t>台前</w:t>
      </w:r>
      <w:r>
        <w:rPr>
          <w:spacing w:val="12"/>
          <w:w w:val="95"/>
        </w:rPr>
        <w:t>应</w:t>
      </w:r>
      <w:r>
        <w:rPr>
          <w:spacing w:val="14"/>
          <w:w w:val="95"/>
        </w:rPr>
        <w:t>当按</w:t>
      </w:r>
      <w:r>
        <w:rPr>
          <w:spacing w:val="12"/>
          <w:w w:val="95"/>
        </w:rPr>
        <w:t>照</w:t>
      </w:r>
      <w:r>
        <w:rPr>
          <w:spacing w:val="14"/>
          <w:w w:val="95"/>
        </w:rPr>
        <w:t>规</w:t>
      </w:r>
      <w:r>
        <w:rPr>
          <w:spacing w:val="12"/>
          <w:w w:val="95"/>
        </w:rPr>
        <w:t>定</w:t>
      </w:r>
      <w:r>
        <w:rPr>
          <w:spacing w:val="14"/>
          <w:w w:val="95"/>
        </w:rPr>
        <w:t>向区</w:t>
      </w:r>
      <w:r>
        <w:rPr>
          <w:spacing w:val="12"/>
          <w:w w:val="95"/>
        </w:rPr>
        <w:t>委</w:t>
      </w:r>
      <w:r>
        <w:rPr>
          <w:w w:val="95"/>
        </w:rPr>
        <w:t>请</w:t>
      </w:r>
      <w:r>
        <w:rPr/>
        <w:t>示报告。</w:t>
      </w:r>
    </w:p>
    <w:p>
      <w:pPr>
        <w:pStyle w:val="BodyText"/>
        <w:ind w:left="0"/>
        <w:rPr>
          <w:sz w:val="47"/>
        </w:rPr>
      </w:pPr>
    </w:p>
    <w:p>
      <w:pPr>
        <w:pStyle w:val="BodyText"/>
        <w:tabs>
          <w:tab w:pos="3312" w:val="left" w:leader="none"/>
        </w:tabs>
        <w:ind w:left="2033"/>
        <w:rPr>
          <w:rFonts w:ascii="黑体" w:eastAsia="黑体" w:hint="eastAsia"/>
        </w:rPr>
      </w:pPr>
      <w:r>
        <w:rPr>
          <w:rFonts w:ascii="黑体" w:eastAsia="黑体" w:hint="eastAsia"/>
        </w:rPr>
        <w:t>第六章</w:t>
        <w:tab/>
        <w:t>决策公开、解读和档案管理</w:t>
      </w:r>
    </w:p>
    <w:p>
      <w:pPr>
        <w:spacing w:after="0"/>
        <w:rPr>
          <w:rFonts w:ascii="黑体" w:eastAsia="黑体" w:hint="eastAsia"/>
        </w:rPr>
        <w:sectPr>
          <w:pgSz w:w="11910" w:h="16840"/>
          <w:pgMar w:header="0" w:footer="972" w:top="1540" w:bottom="1160" w:left="1360" w:right="0"/>
        </w:sectPr>
      </w:pPr>
    </w:p>
    <w:p>
      <w:pPr>
        <w:pStyle w:val="BodyText"/>
        <w:ind w:left="0"/>
        <w:rPr>
          <w:rFonts w:ascii="黑体"/>
          <w:sz w:val="20"/>
        </w:rPr>
      </w:pPr>
      <w:r>
        <w:rPr/>
        <w:pict>
          <v:shape style="position:absolute;margin-left:14.089746pt;margin-top:401.397156pt;width:576pt;height:48pt;mso-position-horizontal-relative:page;mso-position-vertical-relative:page;z-index:-2520770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ind w:left="0"/>
        <w:rPr>
          <w:rFonts w:ascii="黑体"/>
          <w:sz w:val="22"/>
        </w:rPr>
      </w:pPr>
    </w:p>
    <w:p>
      <w:pPr>
        <w:pStyle w:val="BodyText"/>
        <w:spacing w:line="350" w:lineRule="auto" w:before="54"/>
        <w:ind w:right="1472" w:firstLine="640"/>
        <w:jc w:val="both"/>
      </w:pPr>
      <w:r>
        <w:rPr>
          <w:rFonts w:ascii="黑体" w:eastAsia="黑体" w:hint="eastAsia"/>
          <w:spacing w:val="25"/>
        </w:rPr>
        <w:t>第四十七条 </w:t>
      </w:r>
      <w:r>
        <w:rPr>
          <w:spacing w:val="-1"/>
        </w:rPr>
        <w:t>区政府应当通过本级人民政府公报、政府网站</w:t>
      </w:r>
      <w:r>
        <w:rPr>
          <w:spacing w:val="-1"/>
          <w:w w:val="95"/>
        </w:rPr>
        <w:t>以及在本区发行的报纸等途径，及时公布重大行政决策。依法不 </w:t>
      </w:r>
      <w:r>
        <w:rPr>
          <w:spacing w:val="-1"/>
        </w:rPr>
        <w:t>予公开的除外。</w:t>
      </w:r>
    </w:p>
    <w:p>
      <w:pPr>
        <w:pStyle w:val="BodyText"/>
        <w:spacing w:line="350" w:lineRule="auto" w:before="4"/>
        <w:ind w:right="1471" w:firstLine="640"/>
        <w:jc w:val="both"/>
      </w:pPr>
      <w:r>
        <w:rPr>
          <w:rFonts w:ascii="黑体" w:eastAsia="黑体" w:hint="eastAsia"/>
        </w:rPr>
        <w:t>第四十八条 </w:t>
      </w:r>
      <w:r>
        <w:rPr/>
        <w:t>决策承办单位对社会公众普遍关心或者专业</w:t>
      </w:r>
      <w:r>
        <w:rPr>
          <w:w w:val="95"/>
        </w:rPr>
        <w:t>性、技术性较强的重大行政决策事项，应当说明公众意见、专家 论证意见的采纳情况，通过新闻发布会、接受访谈等方式进行宣 </w:t>
      </w:r>
      <w:r>
        <w:rPr/>
        <w:t>传解读。</w:t>
      </w:r>
    </w:p>
    <w:p>
      <w:pPr>
        <w:pStyle w:val="BodyText"/>
        <w:spacing w:line="350" w:lineRule="auto" w:before="6"/>
        <w:ind w:right="1473" w:firstLine="640"/>
        <w:jc w:val="both"/>
      </w:pPr>
      <w:r>
        <w:rPr>
          <w:rFonts w:ascii="黑体" w:eastAsia="黑体" w:hint="eastAsia"/>
        </w:rPr>
        <w:t>第四十九条 </w:t>
      </w:r>
      <w:r>
        <w:rPr/>
        <w:t>区政府办公室应做好决策事项上会材料、制发会议纪要等相关集体讨论全过程材料的收集归档工作。</w:t>
      </w:r>
    </w:p>
    <w:p>
      <w:pPr>
        <w:pStyle w:val="BodyText"/>
        <w:spacing w:line="350" w:lineRule="auto" w:before="3"/>
        <w:ind w:right="1471" w:firstLine="640"/>
      </w:pPr>
      <w:r>
        <w:rPr/>
        <w:t>决策承办单位应当根据档案管理制度，收集整理记录决策全过程、决策实施中的相关材料并及时完整归档。</w:t>
      </w:r>
    </w:p>
    <w:p>
      <w:pPr>
        <w:pStyle w:val="BodyText"/>
        <w:tabs>
          <w:tab w:pos="2352" w:val="left" w:leader="none"/>
        </w:tabs>
        <w:spacing w:line="350" w:lineRule="auto" w:before="2"/>
        <w:ind w:right="1473" w:firstLine="640"/>
      </w:pPr>
      <w:r>
        <w:rPr>
          <w:rFonts w:ascii="黑体" w:eastAsia="黑体" w:hint="eastAsia"/>
        </w:rPr>
        <w:t>第五十条</w:t>
        <w:tab/>
      </w:r>
      <w:r>
        <w:rPr/>
        <w:t>重大行政决策实行全过程记</w:t>
      </w:r>
      <w:r>
        <w:rPr>
          <w:spacing w:val="3"/>
        </w:rPr>
        <w:t>录</w:t>
      </w:r>
      <w:r>
        <w:rPr>
          <w:spacing w:val="-3"/>
        </w:rPr>
        <w:t>，</w:t>
      </w:r>
      <w:r>
        <w:rPr/>
        <w:t>归档材料主要</w:t>
      </w:r>
      <w:r>
        <w:rPr>
          <w:spacing w:val="-11"/>
        </w:rPr>
        <w:t>包</w:t>
      </w:r>
      <w:r>
        <w:rPr/>
        <w:t>括以下方面</w:t>
      </w:r>
    </w:p>
    <w:p>
      <w:pPr>
        <w:pStyle w:val="BodyText"/>
        <w:spacing w:line="350" w:lineRule="auto" w:before="3"/>
        <w:ind w:right="1471" w:firstLine="640"/>
      </w:pPr>
      <w:r>
        <w:rPr/>
        <w:t>（一）决策启动程序相关材料，包括决策事项建议材料、研究论证材料、报请启动决策程序材料及决策草案等材料</w:t>
      </w:r>
    </w:p>
    <w:p>
      <w:pPr>
        <w:pStyle w:val="BodyText"/>
        <w:spacing w:line="350" w:lineRule="auto" w:before="3"/>
        <w:ind w:right="1472" w:firstLine="640"/>
        <w:jc w:val="both"/>
      </w:pPr>
      <w:r>
        <w:rPr/>
        <w:t>（二）</w:t>
      </w:r>
      <w:r>
        <w:rPr>
          <w:spacing w:val="-1"/>
        </w:rPr>
        <w:t>公众参与程序材料，包括征求意见有关材料，对决策</w:t>
      </w:r>
      <w:r>
        <w:rPr>
          <w:w w:val="95"/>
        </w:rPr>
        <w:t>草案进行调整的，须对调整后的决策草案及说明进行归档。依法 </w:t>
      </w:r>
      <w:r>
        <w:rPr/>
        <w:t>不履行该程序的，应归档不履行该程序的情况说明材料</w:t>
      </w:r>
    </w:p>
    <w:p>
      <w:pPr>
        <w:pStyle w:val="BodyText"/>
        <w:spacing w:line="350" w:lineRule="auto" w:before="4"/>
        <w:ind w:right="1471" w:firstLine="640"/>
        <w:jc w:val="both"/>
      </w:pPr>
      <w:r>
        <w:rPr/>
        <w:t>（三）专家论证程序材料，包括专家参与论证的相关材料、</w:t>
      </w:r>
      <w:r>
        <w:rPr>
          <w:w w:val="95"/>
        </w:rPr>
        <w:t>论证意见或者论证报告等材料。依法不履行该程序的，应归档不 </w:t>
      </w:r>
      <w:r>
        <w:rPr/>
        <w:t>履行该程序的情况说明材料。</w:t>
      </w:r>
    </w:p>
    <w:p>
      <w:pPr>
        <w:pStyle w:val="BodyText"/>
        <w:spacing w:before="4"/>
        <w:ind w:left="754"/>
      </w:pPr>
      <w:r>
        <w:rPr/>
        <w:t>（四）风险评估程序材料，包括开展风险评估的相关材料，</w:t>
      </w:r>
    </w:p>
    <w:p>
      <w:pPr>
        <w:spacing w:after="0"/>
        <w:sectPr>
          <w:pgSz w:w="11910" w:h="16840"/>
          <w:pgMar w:header="0" w:footer="972" w:top="1580" w:bottom="1160" w:left="1360" w:right="0"/>
        </w:sectPr>
      </w:pPr>
    </w:p>
    <w:p>
      <w:pPr>
        <w:pStyle w:val="BodyText"/>
        <w:spacing w:line="350" w:lineRule="auto" w:before="42"/>
        <w:ind w:right="1473"/>
      </w:pPr>
      <w:r>
        <w:rPr/>
        <w:pict>
          <v:shape style="position:absolute;margin-left:14.089746pt;margin-top:401.397156pt;width:576pt;height:48pt;mso-position-horizontal-relative:page;mso-position-vertical-relative:page;z-index:-25207603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形成的风险评估报告等材料。依法不履行该程序的，应归档不履 </w:t>
      </w:r>
      <w:r>
        <w:rPr/>
        <w:t>行该程序的情况说明材料。</w:t>
      </w:r>
    </w:p>
    <w:p>
      <w:pPr>
        <w:pStyle w:val="BodyText"/>
        <w:spacing w:line="350" w:lineRule="auto" w:before="3"/>
        <w:ind w:right="1471" w:firstLine="640"/>
        <w:jc w:val="both"/>
      </w:pPr>
      <w:r>
        <w:rPr/>
        <w:t>（五）合法性审查程序材料，包括法律顾问、公职律师的法</w:t>
      </w:r>
      <w:r>
        <w:rPr>
          <w:w w:val="95"/>
        </w:rPr>
        <w:t>律意见、合法性审查部门出具的合法性审查意见、承办部门调整 </w:t>
      </w:r>
      <w:r>
        <w:rPr/>
        <w:t>或者补充的材料等</w:t>
      </w:r>
    </w:p>
    <w:p>
      <w:pPr>
        <w:pStyle w:val="BodyText"/>
        <w:spacing w:line="350" w:lineRule="auto" w:before="4"/>
        <w:ind w:right="1473" w:firstLine="640"/>
        <w:jc w:val="both"/>
      </w:pPr>
      <w:r>
        <w:rPr>
          <w:w w:val="95"/>
        </w:rPr>
        <w:t>（六）集体讨论程序材料，包括提请审议的请示，决策草案 及说明，征求有关单位意见的采纳情况、不采纳理由说明以及有 </w:t>
      </w:r>
      <w:r>
        <w:rPr/>
        <w:t>关单位的复函，集体讨论会议材料等</w:t>
      </w:r>
    </w:p>
    <w:p>
      <w:pPr>
        <w:pStyle w:val="BodyText"/>
        <w:spacing w:before="4"/>
        <w:ind w:left="754"/>
      </w:pPr>
      <w:r>
        <w:rPr/>
        <w:t>（七）决策的正式印发、公布、解读文本</w:t>
      </w:r>
    </w:p>
    <w:p>
      <w:pPr>
        <w:pStyle w:val="BodyText"/>
        <w:spacing w:before="190"/>
        <w:ind w:left="754"/>
      </w:pPr>
      <w:r>
        <w:rPr/>
        <w:t>（八）决策执行与调整（含决策后评估）相关材料</w:t>
      </w:r>
    </w:p>
    <w:p>
      <w:pPr>
        <w:pStyle w:val="BodyText"/>
        <w:spacing w:line="350" w:lineRule="auto" w:before="190"/>
        <w:ind w:right="1468" w:firstLine="640"/>
      </w:pPr>
      <w:r>
        <w:rPr/>
        <w:t>（九） 档案管理法律政策文件规定和相关责任单位认为需要归档的其他材料。</w:t>
      </w:r>
    </w:p>
    <w:p>
      <w:pPr>
        <w:pStyle w:val="BodyText"/>
        <w:spacing w:before="1"/>
        <w:ind w:left="0"/>
        <w:rPr>
          <w:sz w:val="47"/>
        </w:rPr>
      </w:pPr>
    </w:p>
    <w:p>
      <w:pPr>
        <w:pStyle w:val="BodyText"/>
        <w:tabs>
          <w:tab w:pos="3953" w:val="left" w:leader="none"/>
        </w:tabs>
        <w:ind w:left="2674"/>
        <w:rPr>
          <w:rFonts w:ascii="黑体" w:eastAsia="黑体" w:hint="eastAsia"/>
        </w:rPr>
      </w:pPr>
      <w:r>
        <w:rPr>
          <w:rFonts w:ascii="黑体" w:eastAsia="黑体" w:hint="eastAsia"/>
        </w:rPr>
        <w:t>第七章</w:t>
        <w:tab/>
        <w:t>决策执行和调整</w:t>
      </w:r>
    </w:p>
    <w:p>
      <w:pPr>
        <w:pStyle w:val="BodyText"/>
        <w:ind w:left="0"/>
        <w:rPr>
          <w:rFonts w:ascii="黑体"/>
        </w:rPr>
      </w:pPr>
    </w:p>
    <w:p>
      <w:pPr>
        <w:pStyle w:val="BodyText"/>
        <w:spacing w:before="8"/>
        <w:ind w:left="0"/>
        <w:rPr>
          <w:rFonts w:ascii="黑体"/>
          <w:sz w:val="29"/>
        </w:rPr>
      </w:pPr>
    </w:p>
    <w:p>
      <w:pPr>
        <w:pStyle w:val="BodyText"/>
        <w:tabs>
          <w:tab w:pos="2763" w:val="left" w:leader="none"/>
        </w:tabs>
        <w:spacing w:line="350" w:lineRule="auto"/>
        <w:ind w:right="1312" w:firstLine="640"/>
      </w:pPr>
      <w:r>
        <w:rPr>
          <w:rFonts w:ascii="黑体" w:eastAsia="黑体" w:hint="eastAsia"/>
          <w:spacing w:val="14"/>
        </w:rPr>
        <w:t>第</w:t>
      </w:r>
      <w:r>
        <w:rPr>
          <w:rFonts w:ascii="黑体" w:eastAsia="黑体" w:hint="eastAsia"/>
          <w:spacing w:val="12"/>
        </w:rPr>
        <w:t>五</w:t>
      </w:r>
      <w:r>
        <w:rPr>
          <w:rFonts w:ascii="黑体" w:eastAsia="黑体" w:hint="eastAsia"/>
          <w:spacing w:val="14"/>
        </w:rPr>
        <w:t>十一</w:t>
      </w:r>
      <w:r>
        <w:rPr>
          <w:rFonts w:ascii="黑体" w:eastAsia="黑体" w:hint="eastAsia"/>
        </w:rPr>
        <w:t>条</w:t>
        <w:tab/>
      </w:r>
      <w:r>
        <w:rPr>
          <w:spacing w:val="14"/>
        </w:rPr>
        <w:t>区</w:t>
      </w:r>
      <w:r>
        <w:rPr>
          <w:spacing w:val="12"/>
        </w:rPr>
        <w:t>政</w:t>
      </w:r>
      <w:r>
        <w:rPr>
          <w:spacing w:val="14"/>
        </w:rPr>
        <w:t>府作</w:t>
      </w:r>
      <w:r>
        <w:rPr>
          <w:spacing w:val="12"/>
        </w:rPr>
        <w:t>出</w:t>
      </w:r>
      <w:r>
        <w:rPr>
          <w:spacing w:val="14"/>
        </w:rPr>
        <w:t>重</w:t>
      </w:r>
      <w:r>
        <w:rPr>
          <w:spacing w:val="12"/>
        </w:rPr>
        <w:t>大</w:t>
      </w:r>
      <w:r>
        <w:rPr>
          <w:spacing w:val="14"/>
        </w:rPr>
        <w:t>行政</w:t>
      </w:r>
      <w:r>
        <w:rPr>
          <w:spacing w:val="12"/>
        </w:rPr>
        <w:t>决</w:t>
      </w:r>
      <w:r>
        <w:rPr>
          <w:spacing w:val="14"/>
        </w:rPr>
        <w:t>策应</w:t>
      </w:r>
      <w:r>
        <w:rPr>
          <w:spacing w:val="12"/>
        </w:rPr>
        <w:t>当</w:t>
      </w:r>
      <w:r>
        <w:rPr>
          <w:spacing w:val="14"/>
        </w:rPr>
        <w:t>明</w:t>
      </w:r>
      <w:r>
        <w:rPr>
          <w:spacing w:val="12"/>
        </w:rPr>
        <w:t>确</w:t>
      </w:r>
      <w:r>
        <w:rPr>
          <w:spacing w:val="14"/>
        </w:rPr>
        <w:t>负责</w:t>
      </w:r>
      <w:r>
        <w:rPr>
          <w:spacing w:val="12"/>
        </w:rPr>
        <w:t>决</w:t>
      </w:r>
      <w:r>
        <w:rPr/>
        <w:t>策执行工作的单位（以下简称决策执行单</w:t>
      </w:r>
      <w:r>
        <w:rPr>
          <w:spacing w:val="3"/>
        </w:rPr>
        <w:t>位</w:t>
      </w:r>
      <w:r>
        <w:rPr/>
        <w:t>）。决策执行单位应当</w:t>
      </w:r>
      <w:r>
        <w:rPr>
          <w:w w:val="95"/>
        </w:rPr>
        <w:t>依法全面</w:t>
      </w:r>
      <w:r>
        <w:rPr>
          <w:spacing w:val="-53"/>
          <w:w w:val="95"/>
        </w:rPr>
        <w:t>、</w:t>
      </w:r>
      <w:r>
        <w:rPr>
          <w:w w:val="95"/>
        </w:rPr>
        <w:t>及时</w:t>
      </w:r>
      <w:r>
        <w:rPr>
          <w:spacing w:val="-53"/>
          <w:w w:val="95"/>
        </w:rPr>
        <w:t>、</w:t>
      </w:r>
      <w:r>
        <w:rPr>
          <w:w w:val="95"/>
        </w:rPr>
        <w:t>正确执行决策</w:t>
      </w:r>
      <w:r>
        <w:rPr>
          <w:spacing w:val="-53"/>
          <w:w w:val="95"/>
        </w:rPr>
        <w:t>，</w:t>
      </w:r>
      <w:r>
        <w:rPr>
          <w:w w:val="95"/>
        </w:rPr>
        <w:t>跟踪决策执行过程和实际效果， </w:t>
      </w:r>
      <w:r>
        <w:rPr/>
        <w:t>并向区政府报告执行情况。</w:t>
      </w:r>
    </w:p>
    <w:p>
      <w:pPr>
        <w:pStyle w:val="BodyText"/>
        <w:spacing w:line="350" w:lineRule="auto" w:before="6"/>
        <w:ind w:right="1471" w:firstLine="640"/>
        <w:jc w:val="both"/>
      </w:pPr>
      <w:r>
        <w:rPr>
          <w:rFonts w:ascii="黑体" w:eastAsia="黑体" w:hint="eastAsia"/>
        </w:rPr>
        <w:t>第五十二条 </w:t>
      </w:r>
      <w:r>
        <w:rPr/>
        <w:t>区政府建立重大行政决策执行情况督查检查制度，由区政府办公室定期对决策执行情况进行跟踪检查、督促催办、定期通报监督检查中发现的问题，并督促整改。</w:t>
      </w:r>
    </w:p>
    <w:p>
      <w:pPr>
        <w:pStyle w:val="BodyText"/>
        <w:spacing w:before="4"/>
        <w:ind w:left="754"/>
        <w:jc w:val="both"/>
      </w:pPr>
      <w:r>
        <w:rPr>
          <w:rFonts w:ascii="黑体" w:eastAsia="黑体" w:hint="eastAsia"/>
        </w:rPr>
        <w:t>第五十三条 </w:t>
      </w:r>
      <w:r>
        <w:rPr/>
        <w:t>决策执行单位发现重大行政决策存在问题、客</w:t>
      </w:r>
    </w:p>
    <w:p>
      <w:pPr>
        <w:spacing w:after="0"/>
        <w:jc w:val="both"/>
        <w:sectPr>
          <w:pgSz w:w="11910" w:h="16840"/>
          <w:pgMar w:header="0" w:footer="972" w:top="1540" w:bottom="1160" w:left="1360" w:right="0"/>
        </w:sectPr>
      </w:pPr>
    </w:p>
    <w:p>
      <w:pPr>
        <w:pStyle w:val="BodyText"/>
        <w:spacing w:line="350" w:lineRule="auto" w:before="42"/>
        <w:ind w:right="1312"/>
      </w:pPr>
      <w:r>
        <w:rPr/>
        <w:pict>
          <v:shape style="position:absolute;margin-left:14.089746pt;margin-top:401.397156pt;width:576pt;height:48pt;mso-position-horizontal-relative:page;mso-position-vertical-relative:page;z-index:-25207500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观情况发生重大变化，或者决策执行中发生不可抗力等严重影响</w:t>
      </w:r>
      <w:r>
        <w:rPr>
          <w:w w:val="95"/>
        </w:rPr>
        <w:t>决策目标实现的，应当及时向区政府报告，并着手采取补救措施。</w:t>
      </w:r>
    </w:p>
    <w:p>
      <w:pPr>
        <w:pStyle w:val="BodyText"/>
        <w:spacing w:line="350" w:lineRule="auto" w:before="3"/>
        <w:ind w:right="1471" w:firstLine="640"/>
        <w:jc w:val="both"/>
      </w:pPr>
      <w:r>
        <w:rPr>
          <w:w w:val="95"/>
        </w:rPr>
        <w:t>公民、法人或者其他组织认为重大行政决策及其实施存在问 </w:t>
      </w:r>
      <w:r>
        <w:rPr/>
        <w:t>题的，可以通过信件、电话、电子邮件等方式向区政府或者决策执行单位提出意见建议。</w:t>
      </w:r>
    </w:p>
    <w:p>
      <w:pPr>
        <w:pStyle w:val="BodyText"/>
        <w:spacing w:line="350" w:lineRule="auto" w:before="4"/>
        <w:ind w:right="1474" w:firstLine="640"/>
        <w:jc w:val="both"/>
      </w:pPr>
      <w:r>
        <w:rPr>
          <w:rFonts w:ascii="黑体" w:eastAsia="黑体" w:hint="eastAsia"/>
        </w:rPr>
        <w:t>第五十四条 </w:t>
      </w:r>
      <w:r>
        <w:rPr/>
        <w:t>有下列情形之一的，决策承办单位组织开展决策后评估</w:t>
      </w:r>
    </w:p>
    <w:p>
      <w:pPr>
        <w:pStyle w:val="BodyText"/>
        <w:spacing w:before="3"/>
        <w:ind w:left="754"/>
      </w:pPr>
      <w:r>
        <w:rPr/>
        <w:t>（一）重大行政决策实施后明显未达到预期效果</w:t>
      </w:r>
    </w:p>
    <w:p>
      <w:pPr>
        <w:pStyle w:val="BodyText"/>
        <w:spacing w:before="190"/>
        <w:ind w:left="754"/>
      </w:pPr>
      <w:r>
        <w:rPr/>
        <w:t>（二）公民、法人或者其他组织提出较多意见</w:t>
      </w:r>
    </w:p>
    <w:p>
      <w:pPr>
        <w:pStyle w:val="BodyText"/>
        <w:spacing w:before="190"/>
        <w:ind w:left="754"/>
      </w:pPr>
      <w:r>
        <w:rPr/>
        <w:t>（三）区政府或决策承办单位认为有必要。</w:t>
      </w:r>
    </w:p>
    <w:p>
      <w:pPr>
        <w:pStyle w:val="BodyText"/>
        <w:spacing w:line="350" w:lineRule="auto" w:before="190"/>
        <w:ind w:right="1471" w:firstLine="640"/>
        <w:jc w:val="both"/>
      </w:pPr>
      <w:r>
        <w:rPr>
          <w:w w:val="95"/>
        </w:rPr>
        <w:t>开展决策后评估，可以委托专业机构、社会组织等第三方进 行，决策作出前承担主要论证评估工作的专家、专业机构和社会 </w:t>
      </w:r>
      <w:r>
        <w:rPr/>
        <w:t>组织等，不得参与决策后评估。</w:t>
      </w:r>
    </w:p>
    <w:p>
      <w:pPr>
        <w:pStyle w:val="BodyText"/>
        <w:spacing w:line="350" w:lineRule="auto" w:before="4"/>
        <w:ind w:right="1473" w:firstLine="640"/>
      </w:pPr>
      <w:r>
        <w:rPr>
          <w:w w:val="95"/>
        </w:rPr>
        <w:t>开展决策后评估，应当注重听取社会公众的意见，吸收人大 </w:t>
      </w:r>
      <w:r>
        <w:rPr/>
        <w:t>代表、政协委员、人民团体、基层组织、社会组织参与评估。</w:t>
      </w:r>
    </w:p>
    <w:p>
      <w:pPr>
        <w:pStyle w:val="BodyText"/>
        <w:spacing w:before="3"/>
        <w:ind w:left="754"/>
      </w:pPr>
      <w:r>
        <w:rPr>
          <w:w w:val="95"/>
        </w:rPr>
        <w:t>决策后评估结果应当作为调整重大行政决策的重要依据。</w:t>
      </w:r>
    </w:p>
    <w:p>
      <w:pPr>
        <w:pStyle w:val="BodyText"/>
        <w:tabs>
          <w:tab w:pos="2674" w:val="left" w:leader="none"/>
        </w:tabs>
        <w:spacing w:line="350" w:lineRule="auto" w:before="190"/>
        <w:ind w:right="1471" w:firstLine="640"/>
      </w:pPr>
      <w:r>
        <w:rPr>
          <w:rFonts w:ascii="黑体" w:eastAsia="黑体" w:hint="eastAsia"/>
        </w:rPr>
        <w:t>第五十五条</w:t>
        <w:tab/>
      </w:r>
      <w:r>
        <w:rPr/>
        <w:t>决策后评估应当形成评估报告。评估报告应</w:t>
      </w:r>
      <w:r>
        <w:rPr>
          <w:spacing w:val="-12"/>
        </w:rPr>
        <w:t>当</w:t>
      </w:r>
      <w:r>
        <w:rPr/>
        <w:t>包括下列内容</w:t>
      </w:r>
    </w:p>
    <w:p>
      <w:pPr>
        <w:pStyle w:val="BodyText"/>
        <w:spacing w:before="3"/>
        <w:ind w:left="593"/>
      </w:pPr>
      <w:r>
        <w:rPr/>
        <w:t>（一）决策执行的基本情况</w:t>
      </w:r>
    </w:p>
    <w:p>
      <w:pPr>
        <w:pStyle w:val="BodyText"/>
        <w:spacing w:before="190"/>
        <w:ind w:left="593"/>
      </w:pPr>
      <w:r>
        <w:rPr/>
        <w:t>（二）决策执行的成本与效益分析</w:t>
      </w:r>
    </w:p>
    <w:p>
      <w:pPr>
        <w:pStyle w:val="BodyText"/>
        <w:spacing w:before="190"/>
        <w:ind w:left="593"/>
      </w:pPr>
      <w:r>
        <w:rPr/>
        <w:t>（三）社会公众和利益相关方的评价意见</w:t>
      </w:r>
    </w:p>
    <w:p>
      <w:pPr>
        <w:pStyle w:val="BodyText"/>
        <w:spacing w:before="190"/>
        <w:ind w:left="593"/>
      </w:pPr>
      <w:r>
        <w:rPr/>
        <w:t>（四）决策执行中存在的主要问题及其建议</w:t>
      </w:r>
    </w:p>
    <w:p>
      <w:pPr>
        <w:pStyle w:val="BodyText"/>
        <w:spacing w:before="190"/>
        <w:ind w:left="593"/>
      </w:pPr>
      <w:r>
        <w:rPr/>
        <w:t>（五）评估结果。</w:t>
      </w:r>
    </w:p>
    <w:p>
      <w:pPr>
        <w:spacing w:after="0"/>
        <w:sectPr>
          <w:pgSz w:w="11910" w:h="16840"/>
          <w:pgMar w:header="0" w:footer="972" w:top="1540" w:bottom="1160" w:left="1360" w:right="0"/>
        </w:sectPr>
      </w:pPr>
    </w:p>
    <w:p>
      <w:pPr>
        <w:pStyle w:val="BodyText"/>
        <w:spacing w:line="350" w:lineRule="auto" w:before="42"/>
        <w:ind w:right="1458" w:firstLine="640"/>
        <w:jc w:val="both"/>
      </w:pPr>
      <w:r>
        <w:rPr/>
        <w:pict>
          <v:shape style="position:absolute;margin-left:14.089746pt;margin-top:401.397156pt;width:576pt;height:48pt;mso-position-horizontal-relative:page;mso-position-vertical-relative:page;z-index:-25207398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rFonts w:ascii="黑体" w:eastAsia="黑体" w:hint="eastAsia"/>
          <w:spacing w:val="25"/>
        </w:rPr>
        <w:t>第五十六条 </w:t>
      </w:r>
      <w:r>
        <w:rPr/>
        <w:t>依法作出的重大行政决策，未经法定程序不得</w:t>
      </w:r>
      <w:r>
        <w:rPr>
          <w:spacing w:val="-12"/>
          <w:w w:val="95"/>
        </w:rPr>
        <w:t>随意变更或者停止执行。确需调整或者停止执行的，应当经区政府  常务会议或者全体会议集体讨论决定；执行中出现本细则第五十三  条规定的情形、情况紧急的，区长可以先决定中止执行，但是必须  记录在案，并于事后在区政府常务会议或者全体会议上说明理由。  </w:t>
      </w:r>
      <w:r>
        <w:rPr>
          <w:spacing w:val="-12"/>
        </w:rPr>
        <w:t>需要作出重大调整或停止执行的，应当依法履行相关法定程序。</w:t>
      </w:r>
    </w:p>
    <w:p>
      <w:pPr>
        <w:pStyle w:val="BodyText"/>
        <w:spacing w:before="6"/>
        <w:ind w:left="0"/>
        <w:rPr>
          <w:sz w:val="47"/>
        </w:rPr>
      </w:pPr>
    </w:p>
    <w:p>
      <w:pPr>
        <w:pStyle w:val="BodyText"/>
        <w:tabs>
          <w:tab w:pos="4272" w:val="left" w:leader="none"/>
        </w:tabs>
        <w:ind w:left="2993"/>
        <w:rPr>
          <w:rFonts w:ascii="黑体" w:eastAsia="黑体" w:hint="eastAsia"/>
        </w:rPr>
      </w:pPr>
      <w:r>
        <w:rPr>
          <w:rFonts w:ascii="黑体" w:eastAsia="黑体" w:hint="eastAsia"/>
        </w:rPr>
        <w:t>第八章</w:t>
        <w:tab/>
        <w:t>法律责任</w:t>
      </w:r>
    </w:p>
    <w:p>
      <w:pPr>
        <w:pStyle w:val="BodyText"/>
        <w:ind w:left="0"/>
        <w:rPr>
          <w:rFonts w:ascii="黑体"/>
        </w:rPr>
      </w:pPr>
    </w:p>
    <w:p>
      <w:pPr>
        <w:pStyle w:val="BodyText"/>
        <w:spacing w:before="9"/>
        <w:ind w:left="0"/>
        <w:rPr>
          <w:rFonts w:ascii="黑体"/>
          <w:sz w:val="29"/>
        </w:rPr>
      </w:pPr>
    </w:p>
    <w:p>
      <w:pPr>
        <w:pStyle w:val="BodyText"/>
        <w:spacing w:line="350" w:lineRule="auto"/>
        <w:ind w:right="1472" w:firstLine="640"/>
        <w:jc w:val="both"/>
      </w:pPr>
      <w:r>
        <w:rPr>
          <w:rFonts w:ascii="黑体" w:eastAsia="黑体" w:hint="eastAsia"/>
        </w:rPr>
        <w:t>第五十七条 </w:t>
      </w:r>
      <w:r>
        <w:rPr/>
        <w:t>决策承办单位或者承担决策有关工作的单位未按照规定履行决策程序或者履行决策程序时失职渎职、弄虚作</w:t>
      </w:r>
      <w:r>
        <w:rPr>
          <w:w w:val="95"/>
        </w:rPr>
        <w:t>假的，由区政府责令改正，并对负有责任的领导人员和直接责任 </w:t>
      </w:r>
      <w:r>
        <w:rPr/>
        <w:t>人员依法追究责任。区政府会议讨论决策草案时，有关人员对严重失误的决策表示不同意见的，按照规定减免责任。</w:t>
      </w:r>
    </w:p>
    <w:p>
      <w:pPr>
        <w:pStyle w:val="BodyText"/>
        <w:spacing w:line="350" w:lineRule="auto" w:before="7"/>
        <w:ind w:right="1473" w:firstLine="640"/>
        <w:jc w:val="both"/>
      </w:pPr>
      <w:r>
        <w:rPr>
          <w:rFonts w:ascii="黑体" w:eastAsia="黑体" w:hint="eastAsia"/>
          <w:spacing w:val="24"/>
        </w:rPr>
        <w:t>第五十八条 </w:t>
      </w:r>
      <w:r>
        <w:rPr/>
        <w:t>决策执行单位拒不执行、推诿执行、拖延执行</w:t>
      </w:r>
      <w:r>
        <w:rPr>
          <w:w w:val="95"/>
        </w:rPr>
        <w:t>重大行政决策，或者对执行中发现的重大问题瞒报、谎报或者漏 报的，由区政府责令改正，对负有责任的领导人员和直接责任人 </w:t>
      </w:r>
      <w:r>
        <w:rPr/>
        <w:t>员依法追究责任。</w:t>
      </w:r>
    </w:p>
    <w:p>
      <w:pPr>
        <w:pStyle w:val="BodyText"/>
        <w:spacing w:line="350" w:lineRule="auto" w:before="5"/>
        <w:ind w:right="1471" w:firstLine="640"/>
        <w:jc w:val="both"/>
      </w:pPr>
      <w:r>
        <w:rPr>
          <w:rFonts w:ascii="黑体" w:eastAsia="黑体" w:hint="eastAsia"/>
          <w:spacing w:val="25"/>
        </w:rPr>
        <w:t>第五十九条 </w:t>
      </w:r>
      <w:r>
        <w:rPr>
          <w:spacing w:val="-1"/>
        </w:rPr>
        <w:t>承担重大行政决策评估、论证等工作的专家、</w:t>
      </w:r>
      <w:r>
        <w:rPr>
          <w:w w:val="95"/>
        </w:rPr>
        <w:t>专业机构、社会组织等违反职业道德和法律法规的，由相关机关 依法予以通报批评、责令限期整改；造成严重后果的，由相关机 </w:t>
      </w:r>
      <w:r>
        <w:rPr/>
        <w:t>关依法追究其法律责任。</w:t>
      </w:r>
    </w:p>
    <w:p>
      <w:pPr>
        <w:spacing w:after="0" w:line="350" w:lineRule="auto"/>
        <w:jc w:val="both"/>
        <w:sectPr>
          <w:pgSz w:w="11910" w:h="16840"/>
          <w:pgMar w:header="0" w:footer="972" w:top="1540" w:bottom="1160" w:left="1360" w:right="0"/>
        </w:sectPr>
      </w:pPr>
    </w:p>
    <w:p>
      <w:pPr>
        <w:pStyle w:val="BodyText"/>
        <w:ind w:left="0"/>
        <w:rPr>
          <w:sz w:val="20"/>
        </w:rPr>
      </w:pPr>
      <w:r>
        <w:rPr/>
        <w:pict>
          <v:shape style="position:absolute;margin-left:14.089746pt;margin-top:401.397156pt;width:576pt;height:48pt;mso-position-horizontal-relative:page;mso-position-vertical-relative:page;z-index:-25206988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ind w:left="0"/>
        <w:rPr>
          <w:sz w:val="22"/>
        </w:rPr>
      </w:pPr>
    </w:p>
    <w:p>
      <w:pPr>
        <w:pStyle w:val="BodyText"/>
        <w:tabs>
          <w:tab w:pos="1279" w:val="left" w:leader="none"/>
          <w:tab w:pos="1919" w:val="left" w:leader="none"/>
        </w:tabs>
        <w:spacing w:before="54"/>
        <w:ind w:left="0" w:right="1357"/>
        <w:jc w:val="center"/>
        <w:rPr>
          <w:rFonts w:ascii="黑体" w:eastAsia="黑体" w:hint="eastAsia"/>
        </w:rPr>
      </w:pPr>
      <w:r>
        <w:rPr>
          <w:rFonts w:ascii="黑体" w:eastAsia="黑体" w:hint="eastAsia"/>
        </w:rPr>
        <w:t>第九章</w:t>
        <w:tab/>
        <w:t>附</w:t>
        <w:tab/>
        <w:t>则</w:t>
      </w:r>
    </w:p>
    <w:p>
      <w:pPr>
        <w:pStyle w:val="BodyText"/>
        <w:ind w:left="0"/>
        <w:rPr>
          <w:rFonts w:ascii="黑体"/>
        </w:rPr>
      </w:pPr>
    </w:p>
    <w:p>
      <w:pPr>
        <w:pStyle w:val="BodyText"/>
        <w:spacing w:before="8"/>
        <w:ind w:left="0"/>
        <w:rPr>
          <w:rFonts w:ascii="黑体"/>
          <w:sz w:val="29"/>
        </w:rPr>
      </w:pPr>
    </w:p>
    <w:p>
      <w:pPr>
        <w:pStyle w:val="BodyText"/>
        <w:tabs>
          <w:tab w:pos="2352" w:val="left" w:leader="none"/>
        </w:tabs>
        <w:ind w:left="754"/>
      </w:pPr>
      <w:r>
        <w:rPr>
          <w:rFonts w:ascii="黑体" w:eastAsia="黑体" w:hint="eastAsia"/>
        </w:rPr>
        <w:t>第六十条</w:t>
        <w:tab/>
      </w:r>
      <w:r>
        <w:rPr/>
        <w:t>本细则由区政府办公室、区司法局负责解释。</w:t>
      </w:r>
    </w:p>
    <w:p>
      <w:pPr>
        <w:pStyle w:val="BodyText"/>
        <w:tabs>
          <w:tab w:pos="2674" w:val="left" w:leader="none"/>
        </w:tabs>
        <w:spacing w:line="350" w:lineRule="auto" w:before="190"/>
        <w:ind w:right="1473" w:firstLine="640"/>
      </w:pPr>
      <w:r>
        <w:rPr>
          <w:rFonts w:ascii="黑体" w:eastAsia="黑体" w:hint="eastAsia"/>
        </w:rPr>
        <w:t>第六十一条</w:t>
        <w:tab/>
      </w:r>
      <w:r>
        <w:rPr/>
        <w:t>区政府所属部门、各街道办事处、各镇人民</w:t>
      </w:r>
      <w:r>
        <w:rPr>
          <w:spacing w:val="-12"/>
        </w:rPr>
        <w:t>政</w:t>
      </w:r>
      <w:r>
        <w:rPr/>
        <w:t>府重大行政决策的作出和调整程序，参照本细则执行。</w:t>
      </w:r>
    </w:p>
    <w:p>
      <w:pPr>
        <w:pStyle w:val="BodyText"/>
        <w:tabs>
          <w:tab w:pos="2674" w:val="left" w:leader="none"/>
        </w:tabs>
        <w:spacing w:line="350" w:lineRule="auto" w:before="3"/>
        <w:ind w:right="1471" w:firstLine="640"/>
      </w:pPr>
      <w:r>
        <w:rPr>
          <w:rFonts w:ascii="黑体" w:eastAsia="黑体" w:hint="eastAsia"/>
        </w:rPr>
        <w:t>第六十二条</w:t>
        <w:tab/>
      </w:r>
      <w:r>
        <w:rPr/>
        <w:t>本细则自发布之日起施行</w:t>
      </w:r>
      <w:r>
        <w:rPr>
          <w:spacing w:val="-80"/>
        </w:rPr>
        <w:t>。</w:t>
      </w:r>
      <w:r>
        <w:rPr/>
        <w:t>2013</w:t>
      </w:r>
      <w:r>
        <w:rPr>
          <w:spacing w:val="-82"/>
        </w:rPr>
        <w:t> </w:t>
      </w:r>
      <w:r>
        <w:rPr/>
        <w:t>年</w:t>
      </w:r>
      <w:r>
        <w:rPr>
          <w:spacing w:val="-84"/>
        </w:rPr>
        <w:t> </w:t>
      </w:r>
      <w:r>
        <w:rPr/>
        <w:t>10</w:t>
      </w:r>
      <w:r>
        <w:rPr>
          <w:spacing w:val="-81"/>
        </w:rPr>
        <w:t> </w:t>
      </w:r>
      <w:r>
        <w:rPr/>
        <w:t>月</w:t>
      </w:r>
      <w:r>
        <w:rPr>
          <w:spacing w:val="-82"/>
        </w:rPr>
        <w:t> </w:t>
      </w:r>
      <w:r>
        <w:rPr/>
        <w:t>29</w:t>
      </w:r>
      <w:r>
        <w:rPr>
          <w:spacing w:val="-83"/>
        </w:rPr>
        <w:t> </w:t>
      </w:r>
      <w:r>
        <w:rPr/>
        <w:t>日区政府印发的《北京市大兴区人民政府重大行政决策暂行办法》</w:t>
      </w:r>
    </w:p>
    <w:p>
      <w:pPr>
        <w:pStyle w:val="BodyText"/>
        <w:spacing w:before="3"/>
      </w:pPr>
      <w:r>
        <w:rPr/>
        <w:t>（京兴政发〔2013〕33 号）文件同时废止。</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3"/>
        </w:rPr>
      </w:pPr>
      <w:r>
        <w:rPr/>
        <w:pict>
          <v:shape style="position:absolute;margin-left:74.447937pt;margin-top:11.196056pt;width:441pt;height:.1pt;mso-position-horizontal-relative:page;mso-position-vertical-relative:paragraph;z-index:-251638784;mso-wrap-distance-left:0;mso-wrap-distance-right:0" coordorigin="1489,224" coordsize="8820,0" path="m1489,224l10309,224e" filled="false" stroked="true" strokeweight=".751169pt" strokecolor="#000000">
            <v:path arrowok="t"/>
            <v:stroke dashstyle="solid"/>
            <w10:wrap type="topAndBottom"/>
          </v:shape>
        </w:pict>
      </w:r>
    </w:p>
    <w:p>
      <w:pPr>
        <w:spacing w:line="362" w:lineRule="auto" w:before="64"/>
        <w:ind w:left="1265" w:right="1748" w:hanging="732"/>
        <w:jc w:val="left"/>
        <w:rPr>
          <w:sz w:val="28"/>
        </w:rPr>
      </w:pPr>
      <w:r>
        <w:rPr>
          <w:sz w:val="28"/>
        </w:rPr>
        <w:t>抄送:区委办公室、各部、委，区人大办公室，区政协办公室，区纪检委，区人民法院，区人民检察院</w:t>
      </w:r>
    </w:p>
    <w:p>
      <w:pPr>
        <w:spacing w:line="355" w:lineRule="exact" w:before="0"/>
        <w:ind w:left="1265" w:right="0" w:firstLine="0"/>
        <w:jc w:val="left"/>
        <w:rPr>
          <w:sz w:val="28"/>
        </w:rPr>
      </w:pPr>
      <w:r>
        <w:rPr/>
        <w:pict>
          <v:shape style="position:absolute;margin-left:73.6996pt;margin-top:19.589205pt;width:441pt;height:.1pt;mso-position-horizontal-relative:page;mso-position-vertical-relative:paragraph;z-index:-251637760;mso-wrap-distance-left:0;mso-wrap-distance-right:0" coordorigin="1474,392" coordsize="8820,0" path="m1474,392l10294,392e" filled="false" stroked="true" strokeweight=".751169pt" strokecolor="#000000">
            <v:path arrowok="t"/>
            <v:stroke dashstyle="solid"/>
            <w10:wrap type="topAndBottom"/>
          </v:shape>
        </w:pict>
      </w:r>
      <w:r>
        <w:rPr>
          <w:sz w:val="28"/>
        </w:rPr>
        <w:t>北京经济技术开发区工委办、管委办。</w:t>
      </w:r>
    </w:p>
    <w:p>
      <w:pPr>
        <w:tabs>
          <w:tab w:pos="5387" w:val="left" w:leader="none"/>
        </w:tabs>
        <w:spacing w:before="107" w:after="113"/>
        <w:ind w:left="0" w:right="1428" w:firstLine="0"/>
        <w:jc w:val="center"/>
        <w:rPr>
          <w:sz w:val="28"/>
        </w:rPr>
      </w:pPr>
      <w:r>
        <w:rPr>
          <w:sz w:val="28"/>
        </w:rPr>
        <w:t>北</w:t>
      </w:r>
      <w:r>
        <w:rPr>
          <w:spacing w:val="-3"/>
          <w:sz w:val="28"/>
        </w:rPr>
        <w:t>京</w:t>
      </w:r>
      <w:r>
        <w:rPr>
          <w:sz w:val="28"/>
        </w:rPr>
        <w:t>市大</w:t>
      </w:r>
      <w:r>
        <w:rPr>
          <w:spacing w:val="-3"/>
          <w:sz w:val="28"/>
        </w:rPr>
        <w:t>兴</w:t>
      </w:r>
      <w:r>
        <w:rPr>
          <w:sz w:val="28"/>
        </w:rPr>
        <w:t>区人</w:t>
      </w:r>
      <w:r>
        <w:rPr>
          <w:spacing w:val="-3"/>
          <w:sz w:val="28"/>
        </w:rPr>
        <w:t>民</w:t>
      </w:r>
      <w:r>
        <w:rPr>
          <w:sz w:val="28"/>
        </w:rPr>
        <w:t>政府</w:t>
      </w:r>
      <w:r>
        <w:rPr>
          <w:spacing w:val="-3"/>
          <w:sz w:val="28"/>
        </w:rPr>
        <w:t>办</w:t>
      </w:r>
      <w:r>
        <w:rPr>
          <w:sz w:val="28"/>
        </w:rPr>
        <w:t>公室</w:t>
        <w:tab/>
        <w:t>2022</w:t>
      </w:r>
      <w:r>
        <w:rPr>
          <w:spacing w:val="-69"/>
          <w:sz w:val="28"/>
        </w:rPr>
        <w:t> </w:t>
      </w:r>
      <w:r>
        <w:rPr>
          <w:sz w:val="28"/>
        </w:rPr>
        <w:t>年</w:t>
      </w:r>
      <w:r>
        <w:rPr>
          <w:spacing w:val="-71"/>
          <w:sz w:val="28"/>
        </w:rPr>
        <w:t> </w:t>
      </w:r>
      <w:r>
        <w:rPr>
          <w:sz w:val="28"/>
        </w:rPr>
        <w:t>10</w:t>
      </w:r>
      <w:r>
        <w:rPr>
          <w:spacing w:val="-70"/>
          <w:sz w:val="28"/>
        </w:rPr>
        <w:t> </w:t>
      </w:r>
      <w:r>
        <w:rPr>
          <w:sz w:val="28"/>
        </w:rPr>
        <w:t>月</w:t>
      </w:r>
      <w:r>
        <w:rPr>
          <w:spacing w:val="-74"/>
          <w:sz w:val="28"/>
        </w:rPr>
        <w:t> </w:t>
      </w:r>
      <w:r>
        <w:rPr>
          <w:sz w:val="28"/>
        </w:rPr>
        <w:t>20</w:t>
      </w:r>
      <w:r>
        <w:rPr>
          <w:spacing w:val="-70"/>
          <w:sz w:val="28"/>
        </w:rPr>
        <w:t> </w:t>
      </w:r>
      <w:r>
        <w:rPr>
          <w:sz w:val="28"/>
        </w:rPr>
        <w:t>日</w:t>
      </w:r>
      <w:r>
        <w:rPr>
          <w:spacing w:val="-3"/>
          <w:sz w:val="28"/>
        </w:rPr>
        <w:t>印</w:t>
      </w:r>
      <w:r>
        <w:rPr>
          <w:sz w:val="28"/>
        </w:rPr>
        <w:t>发</w:t>
      </w:r>
    </w:p>
    <w:p>
      <w:pPr>
        <w:pStyle w:val="BodyText"/>
        <w:spacing w:line="20" w:lineRule="exact"/>
        <w:ind w:left="106"/>
        <w:rPr>
          <w:sz w:val="2"/>
        </w:rPr>
      </w:pPr>
      <w:r>
        <w:rPr>
          <w:sz w:val="2"/>
        </w:rPr>
        <w:pict>
          <v:group style="width:441pt;height:.75pt;mso-position-horizontal-relative:char;mso-position-vertical-relative:line" coordorigin="0,0" coordsize="8820,15">
            <v:line style="position:absolute" from="0,7" to="8820,7" stroked="true" strokeweight=".748334pt" strokecolor="#000000">
              <v:stroke dashstyle="solid"/>
            </v:line>
          </v:group>
        </w:pict>
      </w:r>
      <w:r>
        <w:rPr>
          <w:sz w:val="2"/>
        </w:rPr>
      </w:r>
    </w:p>
    <w:sectPr>
      <w:pgSz w:w="11910" w:h="16840"/>
      <w:pgMar w:header="0" w:footer="972" w:top="1580" w:bottom="1160" w:left="1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黑体">
    <w:altName w:val="黑体"/>
    <w:charset w:val="86"/>
    <w:family w:val="modern"/>
    <w:pitch w:val="fixed"/>
  </w:font>
  <w:font w:name="宋体">
    <w:altName w:val="宋体"/>
    <w:charset w:val="86"/>
    <w:family w:val="auto"/>
    <w:pitch w:val="variable"/>
  </w:font>
  <w:font w:name="方正小标宋简体">
    <w:altName w:val="方正小标宋简体"/>
    <w:charset w:val="86"/>
    <w:family w:val="script"/>
    <w:pitch w:val="fixed"/>
  </w:font>
  <w:font w:name="仿宋_GB2312">
    <w:altName w:val="仿宋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79.19455pt;margin-top:782.286072pt;width:37pt;height:16.05pt;mso-position-horizontal-relative:page;mso-position-vertical-relative:page;z-index:-252092416"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5.594604pt;margin-top:782.286072pt;width:44.1pt;height:16.05pt;mso-position-horizontal-relative:page;mso-position-vertical-relative:page;z-index:-252091392"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10</w:t>
                </w:r>
                <w:r>
                  <w:rPr/>
                  <w:fldChar w:fldCharType="end"/>
                </w:r>
                <w:r>
                  <w:rPr>
                    <w:rFonts w:ascii="宋体"/>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ind w:left="113"/>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ind w:left="412" w:right="1773"/>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可乐爸</dc:creator>
  <dc:title>京兴政发〔2022〕  号</dc:title>
  <dcterms:created xsi:type="dcterms:W3CDTF">2022-11-29T06:58:52Z</dcterms:created>
  <dcterms:modified xsi:type="dcterms:W3CDTF">2022-11-29T06:58:52Z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WPS Writer</vt:lpwstr>
  </property>
  <property fmtid="{D5CDD505-2E9C-101B-9397-08002B2CF9AE}" pid="4" name="LastSaved">
    <vt:filetime>2022-11-29T00:00:00Z</vt:filetime>
  </property>
</Properties>
</file>