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1"/>
        <w:rPr>
          <w:rFonts w:ascii="Times New Roman"/>
          <w:sz w:val="21"/>
        </w:rPr>
      </w:pPr>
    </w:p>
    <w:p>
      <w:pPr>
        <w:pStyle w:val="8"/>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FF0000"/>
          <w:spacing w:val="62"/>
          <w:w w:val="75"/>
        </w:rPr>
        <w:t>北京大兴经济开发区管理委员会</w:t>
      </w:r>
    </w:p>
    <w:p>
      <w:pPr>
        <w:pStyle w:val="6"/>
        <w:spacing w:before="5"/>
        <w:rPr>
          <w:rFonts w:ascii="PMingLiU"/>
          <w:sz w:val="81"/>
        </w:rPr>
      </w:pPr>
    </w:p>
    <w:p>
      <w:pPr>
        <w:pStyle w:val="6"/>
        <w:tabs>
          <w:tab w:val="left" w:pos="6257"/>
          <w:tab w:val="left" w:pos="7536"/>
        </w:tabs>
        <w:spacing w:after="96"/>
        <w:ind w:left="106"/>
        <w:rPr>
          <w:rFonts w:hint="eastAsia" w:ascii="PMingLiU" w:eastAsia="PMingLiU"/>
        </w:rPr>
      </w:pPr>
      <w:r>
        <w:t>京兴经管文〔2023〕45</w:t>
      </w:r>
      <w:r>
        <w:rPr>
          <w:spacing w:val="-80"/>
        </w:rPr>
        <w:t xml:space="preserve"> </w:t>
      </w:r>
      <w:r>
        <w:t>号</w:t>
      </w:r>
      <w:r>
        <w:tab/>
      </w:r>
      <w:r>
        <w:t>签发人</w:t>
      </w:r>
      <w:r>
        <w:tab/>
      </w:r>
      <w:r>
        <w:rPr>
          <w:rFonts w:hint="eastAsia" w:ascii="PMingLiU" w:eastAsia="PMingLiU"/>
          <w:w w:val="95"/>
        </w:rPr>
        <w:t>常学智</w:t>
      </w:r>
    </w:p>
    <w:p>
      <w:pPr>
        <w:pStyle w:val="6"/>
        <w:spacing w:line="32" w:lineRule="exact"/>
        <w:ind w:left="-12"/>
        <w:rPr>
          <w:rFonts w:ascii="PMingLiU"/>
          <w:sz w:val="3"/>
        </w:rPr>
      </w:pPr>
      <w:r>
        <w:rPr>
          <w:rFonts w:ascii="PMingLiU"/>
          <w:position w:val="0"/>
          <w:sz w:val="3"/>
        </w:rPr>
        <w:pict>
          <v:group id="_x0000_s1026" o:spid="_x0000_s1026" o:spt="203" style="height:1.55pt;width:442.2pt;" coordsize="8844,31">
            <o:lock v:ext="edit"/>
            <v:line id="_x0000_s1027" o:spid="_x0000_s1027" o:spt="20" style="position:absolute;left:0;top:15;height:0;width:8844;" stroked="t" coordsize="21600,21600">
              <v:path arrowok="t"/>
              <v:fill focussize="0,0"/>
              <v:stroke weight="1.54992125984252pt" color="#FF0000"/>
              <v:imagedata o:title=""/>
              <o:lock v:ext="edit"/>
            </v:line>
            <w10:wrap type="none"/>
            <w10:anchorlock/>
          </v:group>
        </w:pict>
      </w:r>
    </w:p>
    <w:p>
      <w:pPr>
        <w:pStyle w:val="6"/>
        <w:rPr>
          <w:rFonts w:ascii="PMingLiU"/>
          <w:sz w:val="42"/>
        </w:rPr>
      </w:pPr>
    </w:p>
    <w:p>
      <w:pPr>
        <w:pStyle w:val="6"/>
        <w:spacing w:before="7"/>
        <w:rPr>
          <w:rFonts w:ascii="PMingLiU"/>
          <w:sz w:val="45"/>
        </w:rPr>
      </w:pPr>
    </w:p>
    <w:p>
      <w:pPr>
        <w:pStyle w:val="4"/>
        <w:spacing w:line="608"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w w:val="95"/>
        </w:rPr>
        <w:t>北京大兴经济开发区管理委员会关于印发</w:t>
      </w:r>
    </w:p>
    <w:p>
      <w:pPr>
        <w:spacing w:before="1" w:line="235" w:lineRule="auto"/>
        <w:ind w:left="127" w:right="459" w:firstLine="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《大兴区关于促进大兴经济开发区数字经济发展暂行办法》的通知</w:t>
      </w:r>
    </w:p>
    <w:p>
      <w:pPr>
        <w:pStyle w:val="6"/>
        <w:spacing w:before="3"/>
        <w:rPr>
          <w:rFonts w:ascii="PMingLiU"/>
          <w:sz w:val="48"/>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44"/>
          <w:sz w:val="32"/>
          <w:szCs w:val="32"/>
          <w:lang w:val="en-US" w:eastAsia="zh-CN" w:bidi="ar-SA"/>
        </w:rPr>
      </w:pPr>
      <w:r>
        <w:rPr>
          <w:rFonts w:hint="eastAsia" w:ascii="仿宋_GB2312" w:hAnsi="仿宋_GB2312" w:eastAsia="仿宋_GB2312" w:cs="仿宋_GB2312"/>
          <w:b w:val="0"/>
          <w:bCs w:val="0"/>
          <w:color w:val="auto"/>
          <w:kern w:val="44"/>
          <w:sz w:val="32"/>
          <w:szCs w:val="32"/>
          <w:lang w:val="en-US" w:eastAsia="zh-CN" w:bidi="ar-SA"/>
        </w:rPr>
        <w:t>各有关单位：</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44"/>
          <w:sz w:val="32"/>
          <w:szCs w:val="32"/>
          <w:lang w:val="en-US" w:eastAsia="zh-CN" w:bidi="ar-SA"/>
        </w:rPr>
      </w:pPr>
      <w:r>
        <w:rPr>
          <w:rFonts w:hint="eastAsia" w:ascii="仿宋_GB2312" w:hAnsi="仿宋_GB2312" w:eastAsia="仿宋_GB2312" w:cs="仿宋_GB2312"/>
          <w:b w:val="0"/>
          <w:bCs w:val="0"/>
          <w:color w:val="auto"/>
          <w:kern w:val="44"/>
          <w:sz w:val="32"/>
          <w:szCs w:val="32"/>
          <w:lang w:val="en-US" w:eastAsia="zh-CN" w:bidi="ar-SA"/>
        </w:rPr>
        <w:t>　　</w:t>
      </w:r>
      <w:r>
        <w:rPr>
          <w:rFonts w:hint="eastAsia" w:ascii="仿宋_GB2312" w:hAnsi="Times New Roman" w:eastAsia="仿宋_GB2312" w:cs="仿宋_GB2312"/>
          <w:b w:val="0"/>
          <w:color w:val="auto"/>
          <w:kern w:val="2"/>
          <w:sz w:val="32"/>
          <w:szCs w:val="32"/>
          <w:lang w:val="en-US" w:eastAsia="zh-CN" w:bidi="ar-SA"/>
        </w:rPr>
        <w:t>为抢抓数字经济发展机遇，精准引进培育数字经济企业，聚焦新一代软件创新基地，打造千亿级数字经济产业集群，根据《北京市关于加快建设全球数字经济标杆城市的实施方案》、《大兴区促进产业高质量发展的指导意见》、《大兴区数字经济创新发展三年行动计划(2021-2023年)》等文件精神，特制定了《大兴区关于促进大兴经济开发区数字经济发展暂行办法》，</w:t>
      </w:r>
      <w:r>
        <w:rPr>
          <w:rFonts w:hint="eastAsia" w:ascii="仿宋_GB2312" w:hAnsi="仿宋_GB2312" w:eastAsia="仿宋_GB2312" w:cs="仿宋_GB2312"/>
          <w:b w:val="0"/>
          <w:bCs w:val="0"/>
          <w:color w:val="auto"/>
          <w:kern w:val="44"/>
          <w:sz w:val="32"/>
          <w:szCs w:val="32"/>
          <w:lang w:val="en-US" w:eastAsia="zh-CN" w:bidi="ar-SA"/>
        </w:rPr>
        <w:t>现印发给你们，请结合实际，认真贯彻执行。</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44"/>
          <w:sz w:val="32"/>
          <w:szCs w:val="32"/>
          <w:lang w:val="en-US" w:eastAsia="zh-CN" w:bidi="ar-SA"/>
        </w:rPr>
      </w:pPr>
      <w:r>
        <w:rPr>
          <w:rFonts w:hint="eastAsia" w:ascii="仿宋_GB2312" w:hAnsi="仿宋_GB2312" w:eastAsia="仿宋_GB2312" w:cs="仿宋_GB2312"/>
          <w:b w:val="0"/>
          <w:bCs w:val="0"/>
          <w:color w:val="auto"/>
          <w:kern w:val="44"/>
          <w:sz w:val="32"/>
          <w:szCs w:val="32"/>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kern w:val="44"/>
          <w:sz w:val="32"/>
          <w:szCs w:val="32"/>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b w:val="0"/>
          <w:bCs w:val="0"/>
          <w:color w:val="auto"/>
          <w:kern w:val="44"/>
          <w:sz w:val="32"/>
          <w:szCs w:val="32"/>
          <w:lang w:val="en-US" w:eastAsia="zh-CN" w:bidi="ar-SA"/>
        </w:rPr>
      </w:pPr>
      <w:r>
        <w:rPr>
          <w:rFonts w:hint="eastAsia" w:ascii="仿宋_GB2312" w:hAnsi="仿宋_GB2312" w:eastAsia="仿宋_GB2312" w:cs="仿宋_GB2312"/>
          <w:b w:val="0"/>
          <w:bCs w:val="0"/>
          <w:color w:val="auto"/>
          <w:kern w:val="44"/>
          <w:sz w:val="32"/>
          <w:szCs w:val="32"/>
          <w:lang w:val="en-US" w:eastAsia="zh-CN" w:bidi="ar-SA"/>
        </w:rPr>
        <w:t>北京大兴经济开发区管理委员会</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kern w:val="44"/>
          <w:sz w:val="32"/>
          <w:szCs w:val="32"/>
          <w:lang w:val="en-US" w:eastAsia="zh-CN" w:bidi="ar-SA"/>
        </w:rPr>
      </w:pPr>
      <w:r>
        <w:rPr>
          <w:rFonts w:hint="eastAsia" w:ascii="仿宋_GB2312" w:hAnsi="仿宋_GB2312" w:eastAsia="仿宋_GB2312" w:cs="仿宋_GB2312"/>
          <w:b w:val="0"/>
          <w:bCs w:val="0"/>
          <w:color w:val="auto"/>
          <w:kern w:val="44"/>
          <w:sz w:val="32"/>
          <w:szCs w:val="32"/>
          <w:lang w:val="en-US" w:eastAsia="zh-CN" w:bidi="ar-SA"/>
        </w:rPr>
        <w:t xml:space="preserve">                           2023年4月17日</w:t>
      </w:r>
    </w:p>
    <w:p>
      <w:pPr>
        <w:pStyle w:val="6"/>
      </w:pPr>
    </w:p>
    <w:p>
      <w:pPr>
        <w:pStyle w:val="6"/>
        <w:spacing w:before="3"/>
        <w:rPr>
          <w:sz w:val="23"/>
        </w:rPr>
      </w:pPr>
    </w:p>
    <w:p>
      <w:pPr>
        <w:pStyle w:val="6"/>
        <w:spacing w:line="328" w:lineRule="auto"/>
        <w:ind w:left="1716" w:right="434" w:hanging="970"/>
      </w:pPr>
      <w:r>
        <w:rPr>
          <w:spacing w:val="-12"/>
          <w:w w:val="95"/>
        </w:rPr>
        <w:t xml:space="preserve">附件：大兴区关于促进大兴经济开发区数字经济发展暂行办 </w:t>
      </w:r>
      <w:r>
        <w:rPr>
          <w:spacing w:val="-12"/>
        </w:rPr>
        <w:t>法</w:t>
      </w:r>
    </w:p>
    <w:p>
      <w:pPr>
        <w:pStyle w:val="6"/>
      </w:pPr>
    </w:p>
    <w:p>
      <w:pPr>
        <w:pStyle w:val="6"/>
      </w:pPr>
    </w:p>
    <w:p>
      <w:pPr>
        <w:pStyle w:val="6"/>
      </w:pPr>
    </w:p>
    <w:p>
      <w:pPr>
        <w:pStyle w:val="6"/>
        <w:spacing w:before="12"/>
        <w:rPr>
          <w:sz w:val="34"/>
        </w:rPr>
      </w:pPr>
    </w:p>
    <w:p>
      <w:pPr>
        <w:pStyle w:val="6"/>
        <w:ind w:left="3831"/>
      </w:pPr>
      <w:r>
        <w:drawing>
          <wp:anchor distT="0" distB="0" distL="0" distR="0" simplePos="0" relativeHeight="251480064" behindDoc="1" locked="0" layoutInCell="1" allowOverlap="1">
            <wp:simplePos x="0" y="0"/>
            <wp:positionH relativeFrom="page">
              <wp:posOffset>4267200</wp:posOffset>
            </wp:positionH>
            <wp:positionV relativeFrom="paragraph">
              <wp:posOffset>-248285</wp:posOffset>
            </wp:positionV>
            <wp:extent cx="1511935" cy="15119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512062" cy="1512061"/>
                    </a:xfrm>
                    <a:prstGeom prst="rect">
                      <a:avLst/>
                    </a:prstGeom>
                  </pic:spPr>
                </pic:pic>
              </a:graphicData>
            </a:graphic>
          </wp:anchor>
        </w:drawing>
      </w:r>
      <w:r>
        <w:t>北京大兴经济开发区管理委员会</w:t>
      </w:r>
    </w:p>
    <w:p>
      <w:pPr>
        <w:pStyle w:val="6"/>
        <w:spacing w:before="149"/>
        <w:ind w:left="5191"/>
      </w:pPr>
      <w:r>
        <w:t>2023</w:t>
      </w:r>
      <w:r>
        <w:rPr>
          <w:spacing w:val="-53"/>
        </w:rPr>
        <w:t xml:space="preserve"> 年 </w:t>
      </w:r>
      <w:r>
        <w:t>4</w:t>
      </w:r>
      <w:r>
        <w:rPr>
          <w:spacing w:val="-54"/>
        </w:rPr>
        <w:t xml:space="preserve"> 月 </w:t>
      </w:r>
      <w:r>
        <w:t>17</w:t>
      </w:r>
      <w:r>
        <w:rPr>
          <w:spacing w:val="-39"/>
        </w:rPr>
        <w:t xml:space="preserve"> 日</w:t>
      </w: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spacing w:before="6"/>
        <w:rPr>
          <w:sz w:val="44"/>
        </w:rPr>
      </w:pPr>
    </w:p>
    <w:p>
      <w:pPr>
        <w:pStyle w:val="6"/>
        <w:spacing w:before="1"/>
        <w:ind w:left="106"/>
      </w:pPr>
      <w:r>
        <w:t>（此公文可以上电子政务外网）</w:t>
      </w:r>
    </w:p>
    <w:p>
      <w:pPr>
        <w:pStyle w:val="6"/>
        <w:spacing w:before="3"/>
        <w:rPr>
          <w:sz w:val="11"/>
        </w:rPr>
      </w:pPr>
      <w:r>
        <w:pict>
          <v:shape id="_x0000_s1028" o:spid="_x0000_s1028" style="position:absolute;left:0pt;margin-left:83.5pt;margin-top:9.55pt;height:0.1pt;width:438.1pt;mso-position-horizontal-relative:page;mso-wrap-distance-bottom:0pt;mso-wrap-distance-top:0pt;z-index:-251657216;mso-width-relative:page;mso-height-relative:page;" filled="f" stroked="t" coordorigin="1671,192" coordsize="8762,0" path="m1671,192l10433,192e">
            <v:path arrowok="t"/>
            <v:fill on="f" focussize="0,0"/>
            <v:stroke weight="0.79992125984252pt" color="#000000"/>
            <v:imagedata o:title=""/>
            <o:lock v:ext="edit"/>
            <w10:wrap type="topAndBottom"/>
          </v:shape>
        </w:pict>
      </w:r>
    </w:p>
    <w:p>
      <w:pPr>
        <w:tabs>
          <w:tab w:val="left" w:pos="5986"/>
        </w:tabs>
        <w:spacing w:before="42" w:after="94"/>
        <w:ind w:left="387" w:right="0" w:firstLine="0"/>
        <w:jc w:val="left"/>
        <w:rPr>
          <w:sz w:val="28"/>
        </w:rPr>
      </w:pPr>
      <w:r>
        <w:rPr>
          <w:sz w:val="28"/>
        </w:rPr>
        <w:t>北</w:t>
      </w:r>
      <w:r>
        <w:rPr>
          <w:spacing w:val="-3"/>
          <w:sz w:val="28"/>
        </w:rPr>
        <w:t>京</w:t>
      </w:r>
      <w:r>
        <w:rPr>
          <w:sz w:val="28"/>
        </w:rPr>
        <w:t>大兴</w:t>
      </w:r>
      <w:r>
        <w:rPr>
          <w:spacing w:val="-3"/>
          <w:sz w:val="28"/>
        </w:rPr>
        <w:t>经</w:t>
      </w:r>
      <w:r>
        <w:rPr>
          <w:sz w:val="28"/>
        </w:rPr>
        <w:t>济开</w:t>
      </w:r>
      <w:r>
        <w:rPr>
          <w:spacing w:val="-3"/>
          <w:sz w:val="28"/>
        </w:rPr>
        <w:t>发</w:t>
      </w:r>
      <w:r>
        <w:rPr>
          <w:sz w:val="28"/>
        </w:rPr>
        <w:t>区管</w:t>
      </w:r>
      <w:r>
        <w:rPr>
          <w:spacing w:val="-3"/>
          <w:sz w:val="28"/>
        </w:rPr>
        <w:t>理</w:t>
      </w:r>
      <w:r>
        <w:rPr>
          <w:sz w:val="28"/>
        </w:rPr>
        <w:t>委员</w:t>
      </w:r>
      <w:r>
        <w:rPr>
          <w:spacing w:val="-3"/>
          <w:sz w:val="28"/>
        </w:rPr>
        <w:t>会</w:t>
      </w:r>
      <w:r>
        <w:rPr>
          <w:sz w:val="28"/>
        </w:rPr>
        <w:t>办公室</w:t>
      </w:r>
      <w:r>
        <w:rPr>
          <w:sz w:val="28"/>
        </w:rPr>
        <w:tab/>
      </w:r>
      <w:r>
        <w:rPr>
          <w:sz w:val="28"/>
        </w:rPr>
        <w:t>2023</w:t>
      </w:r>
      <w:r>
        <w:rPr>
          <w:spacing w:val="-68"/>
          <w:sz w:val="28"/>
        </w:rPr>
        <w:t xml:space="preserve"> </w:t>
      </w:r>
      <w:r>
        <w:rPr>
          <w:sz w:val="28"/>
        </w:rPr>
        <w:t>年</w:t>
      </w:r>
      <w:r>
        <w:rPr>
          <w:spacing w:val="-71"/>
          <w:sz w:val="28"/>
        </w:rPr>
        <w:t xml:space="preserve"> </w:t>
      </w:r>
      <w:r>
        <w:rPr>
          <w:sz w:val="28"/>
        </w:rPr>
        <w:t>4</w:t>
      </w:r>
      <w:r>
        <w:rPr>
          <w:spacing w:val="-72"/>
          <w:sz w:val="28"/>
        </w:rPr>
        <w:t xml:space="preserve"> </w:t>
      </w:r>
      <w:r>
        <w:rPr>
          <w:sz w:val="28"/>
        </w:rPr>
        <w:t>月</w:t>
      </w:r>
      <w:r>
        <w:rPr>
          <w:spacing w:val="-71"/>
          <w:sz w:val="28"/>
        </w:rPr>
        <w:t xml:space="preserve"> </w:t>
      </w:r>
      <w:r>
        <w:rPr>
          <w:sz w:val="28"/>
        </w:rPr>
        <w:t>17</w:t>
      </w:r>
      <w:r>
        <w:rPr>
          <w:spacing w:val="-70"/>
          <w:sz w:val="28"/>
        </w:rPr>
        <w:t xml:space="preserve"> </w:t>
      </w:r>
      <w:r>
        <w:rPr>
          <w:sz w:val="28"/>
        </w:rPr>
        <w:t>日</w:t>
      </w:r>
      <w:r>
        <w:rPr>
          <w:spacing w:val="-3"/>
          <w:sz w:val="28"/>
        </w:rPr>
        <w:t>印</w:t>
      </w:r>
      <w:r>
        <w:rPr>
          <w:sz w:val="28"/>
        </w:rPr>
        <w:t>发</w:t>
      </w:r>
    </w:p>
    <w:p>
      <w:pPr>
        <w:pStyle w:val="6"/>
        <w:spacing w:line="20" w:lineRule="exact"/>
        <w:ind w:left="152"/>
        <w:rPr>
          <w:sz w:val="2"/>
        </w:rPr>
      </w:pPr>
      <w:r>
        <w:rPr>
          <w:sz w:val="2"/>
        </w:rPr>
        <w:pict>
          <v:group id="_x0000_s1029" o:spid="_x0000_s1029" o:spt="203" style="height:0.8pt;width:439.6pt;" coordsize="8792,16">
            <o:lock v:ext="edit"/>
            <v:line id="_x0000_s1030" o:spid="_x0000_s1030" o:spt="20" style="position:absolute;left:0;top:8;height:0;width:8792;" stroked="t" coordsize="21600,21600">
              <v:path arrowok="t"/>
              <v:fill focussize="0,0"/>
              <v:stroke weight="0.79992125984252pt" color="#000000"/>
              <v:imagedata o:title=""/>
              <o:lock v:ext="edit"/>
            </v:line>
            <w10:wrap type="none"/>
            <w10:anchorlock/>
          </v:group>
        </w:pict>
      </w:r>
    </w:p>
    <w:p>
      <w:pPr>
        <w:spacing w:after="0" w:line="20" w:lineRule="exact"/>
        <w:rPr>
          <w:sz w:val="2"/>
        </w:rPr>
        <w:sectPr>
          <w:headerReference r:id="rId3" w:type="default"/>
          <w:footerReference r:id="rId5" w:type="default"/>
          <w:headerReference r:id="rId4" w:type="even"/>
          <w:footerReference r:id="rId6" w:type="even"/>
          <w:pgSz w:w="11910" w:h="16840"/>
          <w:pgMar w:top="1580" w:right="1040" w:bottom="1140" w:left="1480" w:header="0" w:footer="946" w:gutter="0"/>
        </w:sectPr>
      </w:pPr>
    </w:p>
    <w:p>
      <w:pPr>
        <w:pStyle w:val="6"/>
        <w:rPr>
          <w:sz w:val="20"/>
        </w:rPr>
      </w:pPr>
      <w:bookmarkStart w:id="6" w:name="_GoBack"/>
      <w:bookmarkEnd w:id="6"/>
    </w:p>
    <w:p>
      <w:pPr>
        <w:pStyle w:val="6"/>
        <w:spacing w:before="10"/>
        <w:rPr>
          <w:sz w:val="24"/>
        </w:rPr>
      </w:pPr>
    </w:p>
    <w:p>
      <w:pPr>
        <w:pStyle w:val="6"/>
        <w:spacing w:before="55"/>
        <w:ind w:left="106"/>
        <w:rPr>
          <w:rFonts w:hint="eastAsia" w:ascii="黑体" w:hAnsi="黑体" w:eastAsia="黑体" w:cs="黑体"/>
        </w:rPr>
      </w:pPr>
      <w:bookmarkStart w:id="0" w:name="附件"/>
      <w:bookmarkEnd w:id="0"/>
      <w:bookmarkStart w:id="1" w:name="大兴区关于促进大兴经济开发区"/>
      <w:bookmarkEnd w:id="1"/>
      <w:bookmarkStart w:id="2" w:name="数字经济发展暂行办法"/>
      <w:bookmarkEnd w:id="2"/>
      <w:bookmarkStart w:id="3" w:name="第一章  总  则"/>
      <w:bookmarkEnd w:id="3"/>
      <w:bookmarkStart w:id="4" w:name="第一条 为抢抓数字经济发展机遇，精准引进培育数字经济企业，聚焦新一代软件创新基地"/>
      <w:bookmarkEnd w:id="4"/>
      <w:r>
        <w:rPr>
          <w:rFonts w:hint="eastAsia" w:ascii="黑体" w:hAnsi="黑体" w:eastAsia="黑体" w:cs="黑体"/>
        </w:rPr>
        <w:t>附件</w:t>
      </w:r>
    </w:p>
    <w:p>
      <w:pPr>
        <w:pStyle w:val="6"/>
        <w:rPr>
          <w:rFonts w:ascii="宋体"/>
          <w:sz w:val="20"/>
        </w:rPr>
      </w:pPr>
    </w:p>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0"/>
          <w:szCs w:val="40"/>
          <w:lang w:eastAsia="zh-CN"/>
        </w:rPr>
      </w:pPr>
      <w:r>
        <w:rPr>
          <w:rFonts w:hint="eastAsia" w:ascii="方正小标宋简体" w:hAnsi="方正小标宋简体" w:eastAsia="方正小标宋简体" w:cs="方正小标宋简体"/>
          <w:b w:val="0"/>
          <w:bCs w:val="0"/>
          <w:color w:val="auto"/>
          <w:sz w:val="40"/>
          <w:szCs w:val="40"/>
          <w:lang w:eastAsia="zh-CN"/>
        </w:rPr>
        <w:t>大兴区关于</w:t>
      </w:r>
      <w:r>
        <w:rPr>
          <w:rFonts w:ascii="方正小标宋简体" w:hAnsi="方正小标宋简体" w:eastAsia="方正小标宋简体" w:cs="方正小标宋简体"/>
          <w:b w:val="0"/>
          <w:bCs w:val="0"/>
          <w:color w:val="auto"/>
          <w:sz w:val="40"/>
          <w:szCs w:val="40"/>
        </w:rPr>
        <w:t>促进</w:t>
      </w:r>
      <w:r>
        <w:rPr>
          <w:rFonts w:hint="eastAsia" w:ascii="方正小标宋简体" w:hAnsi="方正小标宋简体" w:eastAsia="方正小标宋简体" w:cs="方正小标宋简体"/>
          <w:b w:val="0"/>
          <w:bCs w:val="0"/>
          <w:color w:val="auto"/>
          <w:sz w:val="40"/>
          <w:szCs w:val="40"/>
          <w:lang w:eastAsia="zh-CN"/>
        </w:rPr>
        <w:t>大兴经济开发区</w:t>
      </w:r>
    </w:p>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方正小标宋简体" w:hAnsi="方正小标宋简体" w:eastAsia="方正小标宋简体" w:cs="方正小标宋简体"/>
          <w:b w:val="0"/>
          <w:bCs w:val="0"/>
          <w:color w:val="auto"/>
          <w:sz w:val="40"/>
          <w:szCs w:val="40"/>
        </w:rPr>
      </w:pPr>
      <w:r>
        <w:rPr>
          <w:rFonts w:ascii="方正小标宋简体" w:hAnsi="方正小标宋简体" w:eastAsia="方正小标宋简体" w:cs="方正小标宋简体"/>
          <w:b w:val="0"/>
          <w:bCs w:val="0"/>
          <w:color w:val="auto"/>
          <w:sz w:val="40"/>
          <w:szCs w:val="40"/>
        </w:rPr>
        <w:t>数字经济发展暂行办法</w:t>
      </w:r>
    </w:p>
    <w:p>
      <w:pPr>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color w:val="auto"/>
        </w:rPr>
      </w:pPr>
    </w:p>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第一章</w:t>
      </w:r>
      <w:r>
        <w:rPr>
          <w:rFonts w:hint="eastAsia" w:ascii="黑体" w:hAnsi="黑体" w:eastAsia="黑体" w:cs="黑体"/>
          <w:b w:val="0"/>
          <w:bCs w:val="0"/>
          <w:color w:val="auto"/>
          <w:sz w:val="32"/>
          <w:szCs w:val="32"/>
          <w:lang w:val="en-US" w:eastAsia="zh-CN"/>
        </w:rPr>
        <w:t xml:space="preserve">  </w:t>
      </w:r>
      <w:r>
        <w:rPr>
          <w:rFonts w:ascii="黑体" w:hAnsi="黑体" w:eastAsia="黑体" w:cs="黑体"/>
          <w:b w:val="0"/>
          <w:bCs w:val="0"/>
          <w:color w:val="auto"/>
          <w:sz w:val="32"/>
          <w:szCs w:val="32"/>
        </w:rPr>
        <w:t>总</w:t>
      </w:r>
      <w:r>
        <w:rPr>
          <w:rFonts w:hint="eastAsia" w:ascii="黑体" w:hAnsi="黑体" w:eastAsia="黑体" w:cs="黑体"/>
          <w:b w:val="0"/>
          <w:bCs w:val="0"/>
          <w:color w:val="auto"/>
          <w:sz w:val="32"/>
          <w:szCs w:val="32"/>
          <w:lang w:val="en-US" w:eastAsia="zh-CN"/>
        </w:rPr>
        <w:t xml:space="preserve">  </w:t>
      </w:r>
      <w:r>
        <w:rPr>
          <w:rFonts w:ascii="黑体" w:hAnsi="黑体" w:eastAsia="黑体" w:cs="黑体"/>
          <w:b w:val="0"/>
          <w:bCs w:val="0"/>
          <w:color w:val="auto"/>
          <w:sz w:val="32"/>
          <w:szCs w:val="32"/>
        </w:rPr>
        <w:t>则</w:t>
      </w:r>
    </w:p>
    <w:p>
      <w:pPr>
        <w:pStyle w:val="5"/>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708" w:firstLineChars="200"/>
        <w:jc w:val="both"/>
        <w:textAlignment w:val="auto"/>
        <w:rPr>
          <w:rFonts w:hint="eastAsia" w:ascii="仿宋_GB2312" w:hAnsi="Times New Roman" w:eastAsia="仿宋_GB2312" w:cs="仿宋_GB2312"/>
          <w:b w:val="0"/>
          <w:color w:val="auto"/>
          <w:kern w:val="2"/>
          <w:sz w:val="32"/>
          <w:szCs w:val="32"/>
          <w:lang w:val="en-US" w:eastAsia="zh-CN" w:bidi="ar-SA"/>
        </w:rPr>
      </w:pPr>
      <w:r>
        <w:rPr>
          <w:rFonts w:ascii="黑体" w:hAnsi="黑体" w:eastAsia="黑体" w:cs="黑体"/>
          <w:b w:val="0"/>
          <w:bCs/>
          <w:color w:val="auto"/>
          <w:spacing w:val="22"/>
          <w:sz w:val="31"/>
          <w:szCs w:val="31"/>
        </w:rPr>
        <w:t>第</w:t>
      </w:r>
      <w:r>
        <w:rPr>
          <w:rFonts w:ascii="黑体" w:hAnsi="黑体" w:eastAsia="黑体" w:cs="黑体"/>
          <w:b w:val="0"/>
          <w:bCs/>
          <w:color w:val="auto"/>
          <w:spacing w:val="15"/>
          <w:sz w:val="31"/>
          <w:szCs w:val="31"/>
        </w:rPr>
        <w:t xml:space="preserve">一条 </w:t>
      </w:r>
      <w:r>
        <w:rPr>
          <w:rFonts w:hint="eastAsia" w:ascii="仿宋_GB2312" w:hAnsi="Times New Roman" w:eastAsia="仿宋_GB2312" w:cs="仿宋_GB2312"/>
          <w:b w:val="0"/>
          <w:color w:val="auto"/>
          <w:kern w:val="2"/>
          <w:sz w:val="32"/>
          <w:szCs w:val="32"/>
          <w:lang w:val="en-US" w:eastAsia="zh-CN" w:bidi="ar-SA"/>
        </w:rPr>
        <w:t>为抢抓数字经济发展机遇，精准引进培育数字经济企业，聚焦新一代软件创新基地，打造千亿级数字经济产业集群，根据《北京市关于加快建设全球数字经济标杆城市的实施方案》、《大兴区促进产业高质量发展的指导意见》、《大兴区数字经济创新发展三年行动计划(2021-2023年)》等文件精神，特制定本办法。</w:t>
      </w:r>
    </w:p>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第二章  支持对象和范围</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仿宋_GB2312" w:hAnsi="Times New Roman" w:eastAsia="仿宋_GB2312" w:cs="仿宋_GB2312"/>
          <w:b w:val="0"/>
          <w:color w:val="auto"/>
          <w:kern w:val="2"/>
          <w:sz w:val="32"/>
          <w:szCs w:val="32"/>
          <w:lang w:val="en-US" w:eastAsia="zh-CN" w:bidi="ar-SA"/>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二条</w:t>
      </w:r>
      <w:r>
        <w:rPr>
          <w:rFonts w:hint="eastAsia" w:ascii="黑体" w:hAnsi="黑体" w:eastAsia="黑体" w:cs="黑体"/>
          <w:color w:val="auto"/>
          <w:spacing w:val="15"/>
          <w:sz w:val="31"/>
          <w:szCs w:val="31"/>
          <w:lang w:val="en-US" w:eastAsia="zh-CN"/>
        </w:rPr>
        <w:t xml:space="preserve"> </w:t>
      </w:r>
      <w:r>
        <w:rPr>
          <w:rFonts w:hint="eastAsia" w:ascii="仿宋_GB2312" w:hAnsi="Times New Roman" w:eastAsia="仿宋_GB2312" w:cs="仿宋_GB2312"/>
          <w:b w:val="0"/>
          <w:color w:val="auto"/>
          <w:kern w:val="2"/>
          <w:sz w:val="32"/>
          <w:szCs w:val="32"/>
          <w:lang w:val="en-US" w:eastAsia="zh-CN" w:bidi="ar-SA"/>
        </w:rPr>
        <w:t>本办法适用于《数字经济及其核心产业统计分类(2021）》(国家统计局令第33号）行业代码63（电信、广播电视和卫星传输服务）、行业代码64（互联网相关服务、互联网平台）及行业代码65（软件开发、信息技术服务）的企业。</w:t>
      </w:r>
    </w:p>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第三章  支持方式</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仿宋_GB2312" w:hAnsi="Times New Roman" w:eastAsia="仿宋_GB2312" w:cs="仿宋_GB2312"/>
          <w:b w:val="0"/>
          <w:color w:val="auto"/>
          <w:kern w:val="2"/>
          <w:sz w:val="32"/>
          <w:szCs w:val="32"/>
          <w:lang w:val="en-US" w:eastAsia="zh-CN" w:bidi="ar-SA"/>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三条 </w:t>
      </w:r>
      <w:r>
        <w:rPr>
          <w:rFonts w:hint="eastAsia" w:ascii="楷体_GB2312" w:hAnsi="楷体_GB2312" w:eastAsia="楷体_GB2312" w:cs="楷体_GB2312"/>
          <w:color w:val="auto"/>
          <w:spacing w:val="15"/>
          <w:sz w:val="32"/>
          <w:szCs w:val="32"/>
        </w:rPr>
        <w:t>支持数字经济龙头企业落地发展。</w:t>
      </w:r>
      <w:r>
        <w:rPr>
          <w:rFonts w:hint="eastAsia" w:ascii="仿宋_GB2312" w:hAnsi="Times New Roman" w:eastAsia="仿宋_GB2312" w:cs="仿宋_GB2312"/>
          <w:b w:val="0"/>
          <w:color w:val="auto"/>
          <w:kern w:val="2"/>
          <w:sz w:val="32"/>
          <w:szCs w:val="32"/>
          <w:lang w:val="en-US" w:eastAsia="zh-CN" w:bidi="ar-SA"/>
        </w:rPr>
        <w:t>对新引进的中国软件业务收入百强、中国电子信息百强、中央企业数字业务总部、上市公司以及经评审认定的细分领域行业龙头，落地三年内任意一年营业收入达到5亿元(含)以上的，经评审可给予最高1000万元一次性资金支持。鼓励龙头企业新设专业开展数字化业务的全资或控股子公司，落地三年内任意一年营业收入达到1亿元(含)以上的，经评审可给予最高200万元一次性资金支持。</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仿宋_GB2312" w:hAnsi="Times New Roman" w:eastAsia="仿宋_GB2312" w:cs="仿宋_GB2312"/>
          <w:b w:val="0"/>
          <w:color w:val="auto"/>
          <w:kern w:val="2"/>
          <w:sz w:val="32"/>
          <w:szCs w:val="32"/>
          <w:lang w:val="en-US" w:eastAsia="zh-CN" w:bidi="ar-SA"/>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四条 </w:t>
      </w:r>
      <w:r>
        <w:rPr>
          <w:rFonts w:hint="eastAsia" w:ascii="楷体_GB2312" w:hAnsi="楷体_GB2312" w:eastAsia="楷体_GB2312" w:cs="楷体_GB2312"/>
          <w:color w:val="auto"/>
          <w:spacing w:val="15"/>
          <w:sz w:val="32"/>
          <w:szCs w:val="32"/>
        </w:rPr>
        <w:t>支持数字经济企业发展壮大。</w:t>
      </w:r>
      <w:r>
        <w:rPr>
          <w:rFonts w:hint="eastAsia" w:ascii="仿宋_GB2312" w:hAnsi="Times New Roman" w:eastAsia="仿宋_GB2312" w:cs="仿宋_GB2312"/>
          <w:b w:val="0"/>
          <w:color w:val="auto"/>
          <w:kern w:val="2"/>
          <w:sz w:val="32"/>
          <w:szCs w:val="32"/>
          <w:lang w:val="en-US" w:eastAsia="zh-CN" w:bidi="ar-SA"/>
        </w:rPr>
        <w:t>对首次纳入规模以上统计范围的企业，可给予20万元一次性资金支持，对营业收入首次突破1亿元(含)的企业，可给予30万元一次性资金支持。对营业收入达到1亿元(含)以上，且较上一年度营业收入增长10%(含)以上的企业，按照营业收入增量的10‰，给予最高1000万元年度资金支持。</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仿宋_GB2312" w:hAnsi="Times New Roman" w:eastAsia="仿宋_GB2312" w:cs="仿宋_GB2312"/>
          <w:b w:val="0"/>
          <w:color w:val="auto"/>
          <w:kern w:val="2"/>
          <w:sz w:val="32"/>
          <w:szCs w:val="32"/>
          <w:lang w:val="en-US" w:eastAsia="zh-CN" w:bidi="ar-SA"/>
        </w:rPr>
      </w:pPr>
      <w:r>
        <w:rPr>
          <w:rFonts w:ascii="黑体" w:hAnsi="黑体" w:eastAsia="黑体" w:cs="黑体"/>
          <w:color w:val="auto"/>
          <w:spacing w:val="20"/>
          <w:sz w:val="31"/>
          <w:szCs w:val="31"/>
        </w:rPr>
        <w:t>第五条</w:t>
      </w:r>
      <w:r>
        <w:rPr>
          <w:rFonts w:ascii="黑体" w:hAnsi="黑体" w:eastAsia="黑体" w:cs="黑体"/>
          <w:color w:val="auto"/>
          <w:spacing w:val="15"/>
          <w:sz w:val="31"/>
          <w:szCs w:val="31"/>
        </w:rPr>
        <w:t xml:space="preserve"> </w:t>
      </w:r>
      <w:r>
        <w:rPr>
          <w:rFonts w:hint="eastAsia" w:ascii="楷体_GB2312" w:hAnsi="楷体_GB2312" w:eastAsia="楷体_GB2312" w:cs="楷体_GB2312"/>
          <w:color w:val="auto"/>
          <w:spacing w:val="15"/>
          <w:sz w:val="32"/>
          <w:szCs w:val="32"/>
        </w:rPr>
        <w:t>支持数字经济企业取得资质认证。</w:t>
      </w:r>
      <w:r>
        <w:rPr>
          <w:rFonts w:hint="eastAsia" w:ascii="仿宋_GB2312" w:hAnsi="Times New Roman" w:eastAsia="仿宋_GB2312" w:cs="仿宋_GB2312"/>
          <w:b w:val="0"/>
          <w:color w:val="auto"/>
          <w:kern w:val="2"/>
          <w:sz w:val="32"/>
          <w:szCs w:val="32"/>
          <w:lang w:val="en-US" w:eastAsia="zh-CN" w:bidi="ar-SA"/>
        </w:rPr>
        <w:t>对首次获得或新引进国家级工程研究中心、国家级产业创新中心、国家级企业技术中心等资质的企业，给予500万元一次性资金支持。对首次获得或新引进北京市级企业技术中心、北京市“隐形冠军”、北京市工程技术研究中心等资质的企业，给予100万元一次性资金支持。对首次获得或新引进的国家级专精特新“小巨人”、北京市级“专精特新”中小企业，分别给予50万元、10万元的一次性资金支持，实行晋档补差。</w:t>
      </w: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Times New Roman" w:eastAsia="仿宋_GB2312" w:cs="仿宋_GB2312"/>
          <w:b w:val="0"/>
          <w:color w:val="auto"/>
          <w:kern w:val="2"/>
          <w:sz w:val="32"/>
          <w:szCs w:val="32"/>
          <w:lang w:val="en-US" w:eastAsia="zh-CN" w:bidi="ar-SA"/>
        </w:rPr>
      </w:pPr>
      <w:r>
        <w:rPr>
          <w:rFonts w:hint="eastAsia" w:ascii="仿宋_GB2312" w:hAnsi="Times New Roman" w:eastAsia="仿宋_GB2312" w:cs="仿宋_GB2312"/>
          <w:b w:val="0"/>
          <w:color w:val="auto"/>
          <w:kern w:val="2"/>
          <w:sz w:val="32"/>
          <w:szCs w:val="32"/>
          <w:lang w:val="en-US" w:eastAsia="zh-CN" w:bidi="ar-SA"/>
        </w:rPr>
        <w:t>对首次获得软件能力成熟度CMM、数据管理能力成熟度模型(DCMM)五级、四级、三级资质认定的企业，分别给予50万元、40万元、30万元一次性资金支持，实行晋档补差。</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仿宋_GB2312" w:hAnsi="Times New Roman" w:eastAsia="仿宋_GB2312" w:cs="仿宋_GB2312"/>
          <w:b w:val="0"/>
          <w:color w:val="auto"/>
          <w:kern w:val="2"/>
          <w:sz w:val="32"/>
          <w:szCs w:val="32"/>
          <w:lang w:val="en-US" w:eastAsia="zh-CN" w:bidi="ar-SA"/>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六条 </w:t>
      </w:r>
      <w:r>
        <w:rPr>
          <w:rFonts w:hint="eastAsia" w:ascii="楷体_GB2312" w:hAnsi="楷体_GB2312" w:eastAsia="楷体_GB2312" w:cs="楷体_GB2312"/>
          <w:color w:val="auto"/>
          <w:spacing w:val="15"/>
          <w:sz w:val="32"/>
          <w:szCs w:val="32"/>
        </w:rPr>
        <w:t>支持软件领域关键技术攻关。</w:t>
      </w:r>
      <w:r>
        <w:rPr>
          <w:rFonts w:hint="eastAsia" w:ascii="仿宋_GB2312" w:hAnsi="Times New Roman" w:eastAsia="仿宋_GB2312" w:cs="仿宋_GB2312"/>
          <w:b w:val="0"/>
          <w:color w:val="auto"/>
          <w:kern w:val="2"/>
          <w:sz w:val="32"/>
          <w:szCs w:val="32"/>
          <w:lang w:val="en-US" w:eastAsia="zh-CN" w:bidi="ar-SA"/>
        </w:rPr>
        <w:t>支持企业在高端芯片、基础软件(操作系统、数据库、开发支撑软件)、工业软件(CAD/CAE/EDA等仿真设计软件、PLC/DCS/SIS工控软件等)、核心算法与框架等关键软件领域实现技术突破，产品纳入首版(次)、首台(套)、新技术新产品等目录的企业，经评审可按照研发费用的20%，给予最高500万元一次性资金支持。对在元宇宙、云计算、大数据、人工智能、数字孪生等新兴技术方面取得引领产业发展或颠覆性突破的项目，按照国家级、北京市级资金给予1:1、1:0.5配套支持，配套额度分别不高于1000万元、500万元。</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仿宋_GB2312" w:hAnsi="Times New Roman" w:eastAsia="仿宋_GB2312" w:cs="仿宋_GB2312"/>
          <w:b w:val="0"/>
          <w:color w:val="auto"/>
          <w:kern w:val="2"/>
          <w:sz w:val="32"/>
          <w:szCs w:val="32"/>
          <w:lang w:val="en-US" w:eastAsia="zh-CN" w:bidi="ar-SA"/>
        </w:rPr>
      </w:pPr>
      <w:r>
        <w:rPr>
          <w:rFonts w:ascii="黑体" w:hAnsi="黑体" w:eastAsia="黑体" w:cs="黑体"/>
          <w:color w:val="auto"/>
          <w:spacing w:val="20"/>
          <w:sz w:val="31"/>
          <w:szCs w:val="31"/>
        </w:rPr>
        <w:t>第七条</w:t>
      </w:r>
      <w:r>
        <w:rPr>
          <w:rFonts w:ascii="黑体" w:hAnsi="黑体" w:eastAsia="黑体" w:cs="黑体"/>
          <w:color w:val="auto"/>
          <w:spacing w:val="9"/>
          <w:sz w:val="31"/>
          <w:szCs w:val="31"/>
        </w:rPr>
        <w:t xml:space="preserve"> </w:t>
      </w:r>
      <w:r>
        <w:rPr>
          <w:rFonts w:hint="eastAsia" w:ascii="楷体_GB2312" w:hAnsi="楷体_GB2312" w:eastAsia="楷体_GB2312" w:cs="楷体_GB2312"/>
          <w:color w:val="auto"/>
          <w:spacing w:val="15"/>
          <w:sz w:val="32"/>
          <w:szCs w:val="32"/>
        </w:rPr>
        <w:t>支持数字经济开源开放。</w:t>
      </w:r>
      <w:r>
        <w:rPr>
          <w:rFonts w:hint="eastAsia" w:ascii="仿宋_GB2312" w:hAnsi="Times New Roman" w:eastAsia="仿宋_GB2312" w:cs="仿宋_GB2312"/>
          <w:b w:val="0"/>
          <w:color w:val="auto"/>
          <w:kern w:val="2"/>
          <w:sz w:val="32"/>
          <w:szCs w:val="32"/>
          <w:lang w:val="en-US" w:eastAsia="zh-CN" w:bidi="ar-SA"/>
        </w:rPr>
        <w:t>鼓励企业面向关键软件领域布局开源项目，通过开放平台功能和数据、提供开发环境与工具的方式，开展基于RISC-V开放指令集的嵌入式CPU研发、Web移动开发、AI框架、数据库、云原生相关服务等创新研发，打造一批自主可控的开源社区和开源产品，经评审可按照实际投资额的30%，给予最高1000万元一次性资金支持。</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楷体_GB2312" w:eastAsia="楷体_GB2312" w:cs="仿宋_GB2312"/>
          <w:color w:val="auto"/>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八条 </w:t>
      </w:r>
      <w:r>
        <w:rPr>
          <w:rFonts w:hint="eastAsia" w:ascii="楷体_GB2312" w:hAnsi="楷体_GB2312" w:eastAsia="楷体_GB2312" w:cs="楷体_GB2312"/>
          <w:color w:val="auto"/>
          <w:spacing w:val="15"/>
          <w:sz w:val="32"/>
          <w:szCs w:val="32"/>
        </w:rPr>
        <w:t>支持构建数字经济创新生态。</w:t>
      </w:r>
      <w:r>
        <w:rPr>
          <w:rFonts w:hint="eastAsia" w:ascii="仿宋_GB2312" w:eastAsia="仿宋_GB2312" w:cs="仿宋_GB2312"/>
          <w:color w:val="auto"/>
          <w:sz w:val="32"/>
          <w:szCs w:val="32"/>
        </w:rPr>
        <w:t>支持企业开展相关平台理论和技术研究，强化产业创新发展能力，对建设数字经济公共技术平台、软件产业创新平台、软硬件适配中心等创新平台的企业，经评审可按照平台服务收入的30%，给予最高1000万元资金支持。</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仿宋_GB2312" w:eastAsia="仿宋_GB2312" w:cs="仿宋_GB2312"/>
          <w:color w:val="auto"/>
          <w:sz w:val="32"/>
          <w:szCs w:val="32"/>
        </w:rPr>
      </w:pPr>
      <w:r>
        <w:rPr>
          <w:rFonts w:ascii="黑体" w:hAnsi="黑体" w:eastAsia="黑体" w:cs="黑体"/>
          <w:color w:val="auto"/>
          <w:spacing w:val="20"/>
          <w:sz w:val="31"/>
          <w:szCs w:val="31"/>
        </w:rPr>
        <w:t>第</w:t>
      </w:r>
      <w:r>
        <w:rPr>
          <w:rFonts w:hint="eastAsia" w:ascii="黑体" w:hAnsi="黑体" w:eastAsia="黑体" w:cs="黑体"/>
          <w:color w:val="auto"/>
          <w:spacing w:val="15"/>
          <w:sz w:val="31"/>
          <w:szCs w:val="31"/>
        </w:rPr>
        <w:t>九</w:t>
      </w:r>
      <w:r>
        <w:rPr>
          <w:rFonts w:ascii="黑体" w:hAnsi="黑体" w:eastAsia="黑体" w:cs="黑体"/>
          <w:color w:val="auto"/>
          <w:spacing w:val="15"/>
          <w:sz w:val="31"/>
          <w:szCs w:val="31"/>
        </w:rPr>
        <w:t xml:space="preserve">条 </w:t>
      </w:r>
      <w:r>
        <w:rPr>
          <w:rFonts w:hint="eastAsia" w:ascii="楷体_GB2312" w:hAnsi="楷体_GB2312" w:eastAsia="楷体_GB2312" w:cs="楷体_GB2312"/>
          <w:color w:val="auto"/>
          <w:spacing w:val="15"/>
          <w:sz w:val="32"/>
          <w:szCs w:val="32"/>
        </w:rPr>
        <w:t>支持数字经济产业集聚发展。</w:t>
      </w:r>
      <w:r>
        <w:rPr>
          <w:rFonts w:hint="eastAsia" w:ascii="仿宋_GB2312" w:eastAsia="仿宋_GB2312" w:cs="仿宋_GB2312"/>
          <w:color w:val="auto"/>
          <w:sz w:val="32"/>
          <w:szCs w:val="32"/>
        </w:rPr>
        <w:t>对租赁自用办公、研发、生产等各类功能性用房的企业，经评审可按照上年度实缴租金的50%，给予最长三年,每年最高500万元的资金支持，依照实缴租金与区域房租指导价孰低原则计算。</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仿宋_GB2312" w:eastAsia="仿宋_GB2312" w:cs="仿宋_GB2312"/>
          <w:color w:val="auto"/>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 xml:space="preserve">十条 </w:t>
      </w:r>
      <w:r>
        <w:rPr>
          <w:rFonts w:hint="eastAsia" w:ascii="楷体_GB2312" w:hAnsi="楷体_GB2312" w:eastAsia="楷体_GB2312" w:cs="楷体_GB2312"/>
          <w:color w:val="auto"/>
          <w:spacing w:val="15"/>
          <w:sz w:val="32"/>
          <w:szCs w:val="32"/>
        </w:rPr>
        <w:t>支持数字经济企业融资发展。</w:t>
      </w:r>
      <w:r>
        <w:rPr>
          <w:rFonts w:hint="eastAsia" w:ascii="仿宋_GB2312" w:eastAsia="仿宋_GB2312" w:cs="仿宋_GB2312"/>
          <w:color w:val="auto"/>
          <w:sz w:val="32"/>
          <w:szCs w:val="32"/>
        </w:rPr>
        <w:t>支持企业登陆多层次资本市场，对在境内外主要证券交易所上市的企业，给予最高1000万元的资金支持。对通过银行贷款或融资租赁方式扩大业务规模的企业，按照一年期银行贷款基准利率给予企业贴息,实际利率低于一年期银行贷款基准利率的按实际利率计算，可给予最长三年，每年最高500万元的资金支持。</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ascii="仿宋_GB2312" w:eastAsia="仿宋_GB2312" w:cs="仿宋_GB2312"/>
          <w:color w:val="auto"/>
          <w:sz w:val="32"/>
          <w:szCs w:val="32"/>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十</w:t>
      </w:r>
      <w:r>
        <w:rPr>
          <w:rFonts w:hint="eastAsia" w:ascii="黑体" w:hAnsi="黑体" w:eastAsia="黑体" w:cs="黑体"/>
          <w:color w:val="auto"/>
          <w:spacing w:val="15"/>
          <w:sz w:val="31"/>
          <w:szCs w:val="31"/>
        </w:rPr>
        <w:t>一</w:t>
      </w:r>
      <w:r>
        <w:rPr>
          <w:rFonts w:ascii="黑体" w:hAnsi="黑体" w:eastAsia="黑体" w:cs="黑体"/>
          <w:color w:val="auto"/>
          <w:spacing w:val="15"/>
          <w:sz w:val="31"/>
          <w:szCs w:val="31"/>
        </w:rPr>
        <w:t xml:space="preserve">条 </w:t>
      </w:r>
      <w:r>
        <w:rPr>
          <w:rFonts w:hint="eastAsia" w:ascii="楷体_GB2312" w:hAnsi="楷体_GB2312" w:eastAsia="楷体_GB2312" w:cs="楷体_GB2312"/>
          <w:color w:val="auto"/>
          <w:spacing w:val="15"/>
          <w:sz w:val="32"/>
          <w:szCs w:val="32"/>
        </w:rPr>
        <w:t>支持组织数字经济产业促进活动。</w:t>
      </w:r>
      <w:r>
        <w:rPr>
          <w:rFonts w:hint="eastAsia" w:ascii="仿宋_GB2312" w:eastAsia="仿宋_GB2312" w:cs="仿宋_GB2312"/>
          <w:color w:val="auto"/>
          <w:sz w:val="32"/>
          <w:szCs w:val="32"/>
        </w:rPr>
        <w:t>对策划举办数字经济领域论坛、大会、大赛等重大活动以及举办培训交流、项目路演、主题沙龙等行业促进活动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且促进区域经济发展的</w:t>
      </w:r>
      <w:r>
        <w:rPr>
          <w:rFonts w:hint="eastAsia" w:ascii="仿宋_GB2312" w:eastAsia="仿宋_GB2312" w:cs="仿宋_GB2312"/>
          <w:color w:val="auto"/>
          <w:sz w:val="32"/>
          <w:szCs w:val="32"/>
          <w:lang w:eastAsia="zh-CN"/>
        </w:rPr>
        <w:t>企业</w:t>
      </w:r>
      <w:r>
        <w:rPr>
          <w:rFonts w:hint="eastAsia" w:ascii="仿宋_GB2312" w:eastAsia="仿宋_GB2312" w:cs="仿宋_GB2312"/>
          <w:color w:val="auto"/>
          <w:sz w:val="32"/>
          <w:szCs w:val="32"/>
        </w:rPr>
        <w:t>，经评审可按活动实际费用的50%给予一次性补贴，单个活动补贴最高不超过</w:t>
      </w: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00万元。</w:t>
      </w:r>
    </w:p>
    <w:p>
      <w:pPr>
        <w:pageBreakBefore w:val="0"/>
        <w:widowControl w:val="0"/>
        <w:kinsoku/>
        <w:wordWrap/>
        <w:overflowPunct/>
        <w:topLinePunct w:val="0"/>
        <w:autoSpaceDE/>
        <w:autoSpaceDN/>
        <w:bidi w:val="0"/>
        <w:adjustRightInd/>
        <w:snapToGrid/>
        <w:spacing w:line="560" w:lineRule="exact"/>
        <w:ind w:left="0" w:leftChars="0" w:right="0" w:rightChars="0" w:firstLine="700" w:firstLineChars="200"/>
        <w:jc w:val="both"/>
        <w:textAlignment w:val="auto"/>
        <w:rPr>
          <w:rFonts w:hint="eastAsia"/>
          <w:color w:val="auto"/>
          <w:lang w:eastAsia="zh-CN"/>
        </w:rPr>
      </w:pPr>
      <w:r>
        <w:rPr>
          <w:rFonts w:ascii="黑体" w:hAnsi="黑体" w:eastAsia="黑体" w:cs="黑体"/>
          <w:color w:val="auto"/>
          <w:spacing w:val="20"/>
          <w:sz w:val="31"/>
          <w:szCs w:val="31"/>
        </w:rPr>
        <w:t>第</w:t>
      </w:r>
      <w:r>
        <w:rPr>
          <w:rFonts w:ascii="黑体" w:hAnsi="黑体" w:eastAsia="黑体" w:cs="黑体"/>
          <w:color w:val="auto"/>
          <w:spacing w:val="15"/>
          <w:sz w:val="31"/>
          <w:szCs w:val="31"/>
        </w:rPr>
        <w:t>十</w:t>
      </w:r>
      <w:r>
        <w:rPr>
          <w:rFonts w:hint="eastAsia" w:ascii="黑体" w:hAnsi="黑体" w:eastAsia="黑体" w:cs="黑体"/>
          <w:color w:val="auto"/>
          <w:spacing w:val="15"/>
          <w:sz w:val="31"/>
          <w:szCs w:val="31"/>
        </w:rPr>
        <w:t>二</w:t>
      </w:r>
      <w:r>
        <w:rPr>
          <w:rFonts w:ascii="黑体" w:hAnsi="黑体" w:eastAsia="黑体" w:cs="黑体"/>
          <w:color w:val="auto"/>
          <w:spacing w:val="15"/>
          <w:sz w:val="31"/>
          <w:szCs w:val="31"/>
        </w:rPr>
        <w:t xml:space="preserve">条 </w:t>
      </w:r>
      <w:r>
        <w:rPr>
          <w:rFonts w:hint="eastAsia" w:ascii="楷体_GB2312" w:hAnsi="楷体_GB2312" w:eastAsia="楷体_GB2312" w:cs="楷体_GB2312"/>
          <w:color w:val="auto"/>
          <w:spacing w:val="15"/>
          <w:sz w:val="32"/>
          <w:szCs w:val="32"/>
        </w:rPr>
        <w:t>支持数字经济人才集聚。</w:t>
      </w:r>
      <w:r>
        <w:rPr>
          <w:rFonts w:hint="eastAsia" w:ascii="仿宋_GB2312" w:eastAsia="仿宋_GB2312" w:cs="仿宋_GB2312"/>
          <w:color w:val="auto"/>
          <w:sz w:val="32"/>
          <w:szCs w:val="32"/>
        </w:rPr>
        <w:t>支持培育和引进数字经济领域学科带头人、技术人才和高级管理人才，健全留才和服务人才的工作机制，对数字经济高端人才给予“新国门”领军人才、落户指标、</w:t>
      </w:r>
      <w:r>
        <w:rPr>
          <w:rFonts w:hint="eastAsia" w:ascii="仿宋_GB2312" w:eastAsia="仿宋_GB2312" w:cs="仿宋_GB2312"/>
          <w:color w:val="auto"/>
          <w:sz w:val="32"/>
          <w:szCs w:val="32"/>
          <w:lang w:val="en-US" w:eastAsia="zh-CN"/>
        </w:rPr>
        <w:t>人才</w:t>
      </w:r>
      <w:r>
        <w:rPr>
          <w:rFonts w:hint="eastAsia" w:ascii="仿宋_GB2312" w:eastAsia="仿宋_GB2312" w:cs="仿宋_GB2312"/>
          <w:color w:val="auto"/>
          <w:sz w:val="32"/>
          <w:szCs w:val="32"/>
        </w:rPr>
        <w:t>公寓、子女入学等保障。</w:t>
      </w:r>
    </w:p>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第四章  评审规程</w:t>
      </w:r>
    </w:p>
    <w:p>
      <w:pPr>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hint="eastAsia" w:ascii="仿宋_GB2312" w:eastAsia="仿宋_GB2312" w:cs="仿宋_GB2312"/>
          <w:color w:val="auto"/>
          <w:sz w:val="32"/>
          <w:szCs w:val="32"/>
          <w:lang w:eastAsia="zh-CN"/>
        </w:rPr>
      </w:pPr>
      <w:r>
        <w:rPr>
          <w:rFonts w:ascii="黑体" w:hAnsi="黑体" w:eastAsia="黑体" w:cs="黑体"/>
          <w:color w:val="auto"/>
          <w:spacing w:val="16"/>
          <w:sz w:val="31"/>
          <w:szCs w:val="31"/>
        </w:rPr>
        <w:t>第</w:t>
      </w:r>
      <w:r>
        <w:rPr>
          <w:rFonts w:ascii="黑体" w:hAnsi="黑体" w:eastAsia="黑体" w:cs="黑体"/>
          <w:color w:val="auto"/>
          <w:spacing w:val="10"/>
          <w:sz w:val="31"/>
          <w:szCs w:val="31"/>
        </w:rPr>
        <w:t>十</w:t>
      </w:r>
      <w:r>
        <w:rPr>
          <w:rFonts w:hint="eastAsia" w:ascii="黑体" w:hAnsi="黑体" w:eastAsia="黑体" w:cs="黑体"/>
          <w:color w:val="auto"/>
          <w:spacing w:val="8"/>
          <w:sz w:val="31"/>
          <w:szCs w:val="31"/>
        </w:rPr>
        <w:t>三</w:t>
      </w:r>
      <w:r>
        <w:rPr>
          <w:rFonts w:ascii="黑体" w:hAnsi="黑体" w:eastAsia="黑体" w:cs="黑体"/>
          <w:color w:val="auto"/>
          <w:spacing w:val="8"/>
          <w:sz w:val="31"/>
          <w:szCs w:val="31"/>
        </w:rPr>
        <w:t xml:space="preserve">条 </w:t>
      </w:r>
      <w:r>
        <w:rPr>
          <w:rFonts w:hint="eastAsia" w:ascii="楷体_GB2312" w:hAnsi="楷体_GB2312" w:eastAsia="楷体_GB2312" w:cs="楷体_GB2312"/>
          <w:color w:val="auto"/>
          <w:spacing w:val="15"/>
          <w:sz w:val="32"/>
          <w:szCs w:val="32"/>
        </w:rPr>
        <w:t>项目征集。</w:t>
      </w:r>
      <w:bookmarkStart w:id="5" w:name="_Hlk129878516"/>
      <w:r>
        <w:rPr>
          <w:rFonts w:hint="eastAsia" w:ascii="仿宋_GB2312" w:eastAsia="仿宋_GB2312" w:cs="仿宋_GB2312"/>
          <w:color w:val="auto"/>
          <w:sz w:val="32"/>
          <w:szCs w:val="32"/>
        </w:rPr>
        <w:t>在大兴区经济和信息化局的指导下，北京大兴经济开发区管理委员会</w:t>
      </w:r>
      <w:bookmarkEnd w:id="5"/>
      <w:r>
        <w:rPr>
          <w:rFonts w:hint="eastAsia" w:ascii="仿宋_GB2312" w:eastAsia="仿宋_GB2312" w:cs="仿宋_GB2312"/>
          <w:color w:val="auto"/>
          <w:sz w:val="32"/>
          <w:szCs w:val="32"/>
        </w:rPr>
        <w:t>每年面向大兴经济开发区内的企业征集相关项目</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开展项目推荐、初审等相关工作。</w:t>
      </w:r>
    </w:p>
    <w:p>
      <w:pPr>
        <w:pageBreakBefore w:val="0"/>
        <w:widowControl w:val="0"/>
        <w:kinsoku/>
        <w:wordWrap/>
        <w:overflowPunct/>
        <w:topLinePunct w:val="0"/>
        <w:autoSpaceDE/>
        <w:autoSpaceDN/>
        <w:bidi w:val="0"/>
        <w:adjustRightInd/>
        <w:snapToGrid/>
        <w:spacing w:line="560" w:lineRule="exact"/>
        <w:ind w:left="0" w:leftChars="0" w:right="0" w:rightChars="0" w:firstLine="636" w:firstLineChars="200"/>
        <w:jc w:val="both"/>
        <w:textAlignment w:val="auto"/>
        <w:rPr>
          <w:rFonts w:hint="eastAsia" w:ascii="仿宋_GB2312" w:eastAsia="仿宋_GB2312" w:cs="仿宋_GB2312"/>
          <w:color w:val="auto"/>
          <w:sz w:val="32"/>
          <w:szCs w:val="32"/>
        </w:rPr>
      </w:pPr>
      <w:r>
        <w:rPr>
          <w:rFonts w:ascii="黑体" w:hAnsi="黑体" w:eastAsia="黑体" w:cs="黑体"/>
          <w:color w:val="auto"/>
          <w:spacing w:val="4"/>
          <w:sz w:val="31"/>
          <w:szCs w:val="31"/>
        </w:rPr>
        <w:t>第</w:t>
      </w:r>
      <w:r>
        <w:rPr>
          <w:rFonts w:ascii="黑体" w:hAnsi="黑体" w:eastAsia="黑体" w:cs="黑体"/>
          <w:color w:val="auto"/>
          <w:spacing w:val="3"/>
          <w:sz w:val="31"/>
          <w:szCs w:val="31"/>
        </w:rPr>
        <w:t>十</w:t>
      </w:r>
      <w:r>
        <w:rPr>
          <w:rFonts w:hint="eastAsia" w:ascii="黑体" w:hAnsi="黑体" w:eastAsia="黑体" w:cs="黑体"/>
          <w:color w:val="auto"/>
          <w:spacing w:val="2"/>
          <w:sz w:val="31"/>
          <w:szCs w:val="31"/>
        </w:rPr>
        <w:t>四</w:t>
      </w:r>
      <w:r>
        <w:rPr>
          <w:rFonts w:ascii="黑体" w:hAnsi="黑体" w:eastAsia="黑体" w:cs="黑体"/>
          <w:color w:val="auto"/>
          <w:spacing w:val="2"/>
          <w:sz w:val="31"/>
          <w:szCs w:val="31"/>
        </w:rPr>
        <w:t xml:space="preserve">条 </w:t>
      </w:r>
      <w:r>
        <w:rPr>
          <w:rFonts w:hint="eastAsia" w:ascii="楷体_GB2312" w:hAnsi="楷体_GB2312" w:eastAsia="楷体_GB2312" w:cs="楷体_GB2312"/>
          <w:color w:val="auto"/>
          <w:spacing w:val="15"/>
          <w:sz w:val="32"/>
          <w:szCs w:val="32"/>
        </w:rPr>
        <w:t>项目审核兑现。</w:t>
      </w:r>
      <w:r>
        <w:rPr>
          <w:rFonts w:hint="eastAsia" w:ascii="仿宋_GB2312" w:eastAsia="仿宋_GB2312" w:cs="仿宋_GB2312"/>
          <w:color w:val="auto"/>
          <w:sz w:val="32"/>
          <w:szCs w:val="32"/>
        </w:rPr>
        <w:t>北京大兴经济开发区管理委员会牵头组织第三方专业机构协助开展项目评审认定，并按照规定程序审批通过后在大兴区人民政府网站公示，公示期不少于5个工作日。公示期结束后，对公示无异议的项目予以支持。任何单位和个人如持有异议，应当在公示期内提交书面意见和有关证据，逾期视为对公示内容无异议，且不予受理。</w:t>
      </w:r>
    </w:p>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黑体" w:hAnsi="黑体" w:eastAsia="黑体" w:cs="黑体"/>
          <w:b w:val="0"/>
          <w:bCs w:val="0"/>
          <w:color w:val="auto"/>
          <w:sz w:val="32"/>
          <w:szCs w:val="32"/>
        </w:rPr>
      </w:pPr>
      <w:r>
        <w:rPr>
          <w:rFonts w:ascii="黑体" w:hAnsi="黑体" w:eastAsia="黑体" w:cs="黑体"/>
          <w:b w:val="0"/>
          <w:bCs w:val="0"/>
          <w:color w:val="auto"/>
          <w:sz w:val="32"/>
          <w:szCs w:val="32"/>
        </w:rPr>
        <w:t>第五章</w:t>
      </w:r>
      <w:r>
        <w:rPr>
          <w:rFonts w:hint="eastAsia" w:ascii="黑体" w:hAnsi="黑体" w:eastAsia="黑体" w:cs="黑体"/>
          <w:b w:val="0"/>
          <w:bCs w:val="0"/>
          <w:color w:val="auto"/>
          <w:sz w:val="32"/>
          <w:szCs w:val="32"/>
          <w:lang w:val="en-US" w:eastAsia="zh-CN"/>
        </w:rPr>
        <w:t xml:space="preserve">  </w:t>
      </w:r>
      <w:r>
        <w:rPr>
          <w:rFonts w:ascii="黑体" w:hAnsi="黑体" w:eastAsia="黑体" w:cs="黑体"/>
          <w:b w:val="0"/>
          <w:bCs w:val="0"/>
          <w:color w:val="auto"/>
          <w:sz w:val="32"/>
          <w:szCs w:val="32"/>
        </w:rPr>
        <w:t>附</w:t>
      </w:r>
      <w:r>
        <w:rPr>
          <w:rFonts w:hint="eastAsia" w:ascii="黑体" w:hAnsi="黑体" w:eastAsia="黑体" w:cs="黑体"/>
          <w:b w:val="0"/>
          <w:bCs w:val="0"/>
          <w:color w:val="auto"/>
          <w:sz w:val="32"/>
          <w:szCs w:val="32"/>
          <w:lang w:val="en-US" w:eastAsia="zh-CN"/>
        </w:rPr>
        <w:t xml:space="preserve">  </w:t>
      </w:r>
      <w:r>
        <w:rPr>
          <w:rFonts w:ascii="黑体" w:hAnsi="黑体" w:eastAsia="黑体" w:cs="黑体"/>
          <w:b w:val="0"/>
          <w:bCs w:val="0"/>
          <w:color w:val="auto"/>
          <w:sz w:val="32"/>
          <w:szCs w:val="32"/>
        </w:rPr>
        <w:t>则</w:t>
      </w:r>
    </w:p>
    <w:p>
      <w:pPr>
        <w:pageBreakBefore w:val="0"/>
        <w:widowControl w:val="0"/>
        <w:kinsoku/>
        <w:wordWrap/>
        <w:overflowPunct/>
        <w:topLinePunct w:val="0"/>
        <w:autoSpaceDE/>
        <w:autoSpaceDN/>
        <w:bidi w:val="0"/>
        <w:adjustRightInd/>
        <w:snapToGrid/>
        <w:spacing w:line="560" w:lineRule="exact"/>
        <w:ind w:left="0" w:leftChars="0" w:right="0" w:rightChars="0" w:firstLine="684" w:firstLineChars="200"/>
        <w:jc w:val="both"/>
        <w:textAlignment w:val="auto"/>
        <w:rPr>
          <w:rFonts w:ascii="仿宋_GB2312" w:eastAsia="仿宋_GB2312" w:cs="仿宋_GB2312"/>
          <w:color w:val="auto"/>
          <w:sz w:val="32"/>
          <w:szCs w:val="32"/>
        </w:rPr>
      </w:pPr>
      <w:r>
        <w:rPr>
          <w:rFonts w:ascii="黑体" w:hAnsi="黑体" w:eastAsia="黑体" w:cs="黑体"/>
          <w:color w:val="auto"/>
          <w:spacing w:val="16"/>
          <w:sz w:val="31"/>
          <w:szCs w:val="31"/>
        </w:rPr>
        <w:t>第十</w:t>
      </w:r>
      <w:r>
        <w:rPr>
          <w:rFonts w:hint="eastAsia" w:ascii="黑体" w:hAnsi="黑体" w:eastAsia="黑体" w:cs="黑体"/>
          <w:color w:val="auto"/>
          <w:spacing w:val="16"/>
          <w:sz w:val="31"/>
          <w:szCs w:val="31"/>
          <w:lang w:val="en-US" w:eastAsia="zh-CN"/>
        </w:rPr>
        <w:t>五</w:t>
      </w:r>
      <w:r>
        <w:rPr>
          <w:rFonts w:hint="eastAsia" w:ascii="黑体" w:hAnsi="黑体" w:eastAsia="黑体" w:cs="黑体"/>
          <w:color w:val="auto"/>
          <w:spacing w:val="16"/>
          <w:sz w:val="31"/>
          <w:szCs w:val="31"/>
        </w:rPr>
        <w:t>条</w:t>
      </w:r>
      <w:r>
        <w:rPr>
          <w:rFonts w:hint="eastAsia" w:ascii="楷体_GB2312" w:hAnsi="楷体_GB2312" w:eastAsia="楷体_GB2312" w:cs="楷体_GB2312"/>
          <w:color w:val="auto"/>
          <w:spacing w:val="15"/>
          <w:sz w:val="32"/>
          <w:szCs w:val="32"/>
        </w:rPr>
        <w:t xml:space="preserve"> 监督与管理。</w:t>
      </w:r>
      <w:r>
        <w:rPr>
          <w:rFonts w:hint="eastAsia" w:ascii="仿宋_GB2312" w:eastAsia="仿宋_GB2312" w:cs="仿宋_GB2312"/>
          <w:color w:val="auto"/>
          <w:sz w:val="32"/>
          <w:szCs w:val="32"/>
        </w:rPr>
        <w:t>对在审计与监督检查中发现存在严重问题，经有关部门核查存在违规申报或经营行为的企业，自发现之日起，限期退还已获得的支持或补贴资金，取消相关违规企业(或项目单位)三年内依据本办法申报相关奖励或补贴的资格。</w:t>
      </w:r>
    </w:p>
    <w:p>
      <w:pPr>
        <w:pageBreakBefore w:val="0"/>
        <w:widowControl w:val="0"/>
        <w:kinsoku/>
        <w:wordWrap/>
        <w:overflowPunct/>
        <w:topLinePunct w:val="0"/>
        <w:autoSpaceDE/>
        <w:autoSpaceDN/>
        <w:bidi w:val="0"/>
        <w:adjustRightInd/>
        <w:snapToGrid/>
        <w:spacing w:line="560" w:lineRule="exact"/>
        <w:ind w:left="0" w:leftChars="0" w:right="0" w:rightChars="0" w:firstLine="588" w:firstLineChars="200"/>
        <w:jc w:val="both"/>
        <w:textAlignment w:val="auto"/>
        <w:rPr>
          <w:color w:val="auto"/>
        </w:rPr>
      </w:pPr>
      <w:r>
        <w:rPr>
          <w:rFonts w:ascii="黑体" w:hAnsi="黑体" w:eastAsia="黑体" w:cs="黑体"/>
          <w:color w:val="auto"/>
          <w:spacing w:val="-8"/>
          <w:sz w:val="31"/>
          <w:szCs w:val="31"/>
        </w:rPr>
        <w:t>第十</w:t>
      </w:r>
      <w:r>
        <w:rPr>
          <w:rFonts w:hint="eastAsia" w:ascii="黑体" w:hAnsi="黑体" w:eastAsia="黑体" w:cs="黑体"/>
          <w:color w:val="auto"/>
          <w:spacing w:val="-8"/>
          <w:sz w:val="31"/>
          <w:szCs w:val="31"/>
          <w:lang w:val="en-US" w:eastAsia="zh-CN"/>
        </w:rPr>
        <w:t>六</w:t>
      </w:r>
      <w:r>
        <w:rPr>
          <w:rFonts w:ascii="黑体" w:hAnsi="黑体" w:eastAsia="黑体" w:cs="黑体"/>
          <w:color w:val="auto"/>
          <w:spacing w:val="-8"/>
          <w:sz w:val="31"/>
          <w:szCs w:val="31"/>
        </w:rPr>
        <w:t>条</w:t>
      </w:r>
      <w:r>
        <w:rPr>
          <w:rFonts w:hint="eastAsia" w:ascii="楷体_GB2312" w:hAnsi="楷体_GB2312" w:eastAsia="楷体_GB2312" w:cs="楷体_GB2312"/>
          <w:color w:val="auto"/>
          <w:spacing w:val="15"/>
          <w:sz w:val="32"/>
          <w:szCs w:val="32"/>
        </w:rPr>
        <w:t xml:space="preserve"> </w:t>
      </w:r>
      <w:r>
        <w:rPr>
          <w:rFonts w:hint="eastAsia" w:ascii="仿宋_GB2312" w:eastAsia="仿宋_GB2312" w:cs="仿宋_GB2312"/>
          <w:color w:val="auto"/>
          <w:sz w:val="32"/>
          <w:szCs w:val="32"/>
        </w:rPr>
        <w:t>本办法由北京大兴经济开发区管理委员会负责解释</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自发布之日起在大兴经济开发区范围内试行。期间如遇国家及北京市相关政策调整，本办法同步调整。</w:t>
      </w:r>
    </w:p>
    <w:p>
      <w:pPr>
        <w:pStyle w:val="6"/>
        <w:spacing w:before="4"/>
        <w:rPr>
          <w:rFonts w:ascii="宋体"/>
          <w:sz w:val="25"/>
        </w:rPr>
      </w:pPr>
    </w:p>
    <w:sectPr>
      <w:pgSz w:w="11910" w:h="16840"/>
      <w:pgMar w:top="1580" w:right="1040" w:bottom="1140" w:left="1480" w:header="0" w:footer="94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49" o:spid="_x0000_s2049" o:spt="202" type="#_x0000_t202" style="position:absolute;left:0pt;margin-left:484.95pt;margin-top:783.6pt;height:16.05pt;width:37pt;mso-position-horizontal-relative:page;mso-position-vertical-relative:page;z-index:-25183948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0" o:spid="_x0000_s2050" o:spt="202" type="#_x0000_t202" style="position:absolute;left:0pt;margin-left:79pt;margin-top:783.6pt;height:16.05pt;width:37pt;mso-position-horizontal-relative:page;mso-position-vertical-relative:page;z-index:-25183846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34860" o:spid="_x0000_s2051" o:spt="136" type="#_x0000_t136" style="position:absolute;left:0pt;height:58.15pt;width:529.1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2" o:spid="_x0000_s2052" o:spt="136" type="#_x0000_t136" style="position:absolute;left:0pt;height:58.15pt;width:529.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C7554C1"/>
    <w:rsid w:val="30B744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4">
    <w:name w:val="heading 1"/>
    <w:basedOn w:val="1"/>
    <w:next w:val="1"/>
    <w:qFormat/>
    <w:uiPriority w:val="1"/>
    <w:pPr>
      <w:ind w:left="127" w:right="453"/>
      <w:jc w:val="center"/>
      <w:outlineLvl w:val="1"/>
    </w:pPr>
    <w:rPr>
      <w:rFonts w:ascii="PMingLiU" w:hAnsi="PMingLiU" w:eastAsia="PMingLiU" w:cs="PMingLiU"/>
      <w:sz w:val="44"/>
      <w:szCs w:val="44"/>
      <w:lang w:val="zh-CN" w:eastAsia="zh-CN" w:bidi="zh-CN"/>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next w:val="3"/>
    <w:qFormat/>
    <w:uiPriority w:val="0"/>
    <w:rPr>
      <w:rFonts w:ascii="Calibri" w:hAnsi="Calibri" w:eastAsia="宋体" w:cs="Times New Roman"/>
      <w:sz w:val="18"/>
      <w:szCs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w:basedOn w:val="1"/>
    <w:qFormat/>
    <w:uiPriority w:val="1"/>
    <w:rPr>
      <w:rFonts w:ascii="仿宋_GB2312" w:hAnsi="仿宋_GB2312" w:eastAsia="仿宋_GB2312" w:cs="仿宋_GB2312"/>
      <w:sz w:val="32"/>
      <w:szCs w:val="32"/>
      <w:lang w:val="zh-CN" w:eastAsia="zh-CN" w:bidi="zh-CN"/>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1"/>
    <w:pPr>
      <w:spacing w:before="5"/>
      <w:ind w:left="271"/>
    </w:pPr>
    <w:rPr>
      <w:rFonts w:ascii="PMingLiU" w:hAnsi="PMingLiU" w:eastAsia="PMingLiU" w:cs="PMingLiU"/>
      <w:sz w:val="72"/>
      <w:szCs w:val="72"/>
      <w:lang w:val="zh-CN" w:eastAsia="zh-CN" w:bidi="zh-CN"/>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49"/>
    <customShpInfo spid="_x0000_s2050"/>
    <customShpInfo spid="_x0000_s1027"/>
    <customShpInfo spid="_x0000_s1026"/>
    <customShpInfo spid="_x0000_s1028"/>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2023-11-20T09:14:00Z</dcterms:created>
  <dc:creator>Administrator</dc:creator>
  <cp:lastModifiedBy>月</cp:lastModifiedBy>
  <dcterms:modified xsi:type="dcterms:W3CDTF">2023-11-20T09:17:45Z</dcterms:modified>
  <dc:title>北京大兴新媒体产业基地管理委员会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Suwell OFD convertor</vt:lpwstr>
  </property>
  <property fmtid="{D5CDD505-2E9C-101B-9397-08002B2CF9AE}" pid="4" name="LastSaved">
    <vt:filetime>2023-11-20T00:00:00Z</vt:filetime>
  </property>
  <property fmtid="{D5CDD505-2E9C-101B-9397-08002B2CF9AE}" pid="5" name="KSOProductBuildVer">
    <vt:lpwstr>2052-11.8.2.8696</vt:lpwstr>
  </property>
</Properties>
</file>