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016B">
      <w:pPr>
        <w:pStyle w:val="2"/>
        <w:spacing w:line="252" w:lineRule="auto"/>
      </w:pPr>
      <w:bookmarkStart w:id="0" w:name="_GoBack"/>
      <w:bookmarkEnd w:id="0"/>
    </w:p>
    <w:p w14:paraId="6E782B2E">
      <w:pPr>
        <w:pStyle w:val="2"/>
        <w:spacing w:line="252" w:lineRule="auto"/>
      </w:pPr>
    </w:p>
    <w:p w14:paraId="6D466906">
      <w:pPr>
        <w:pStyle w:val="2"/>
        <w:spacing w:line="252" w:lineRule="auto"/>
      </w:pPr>
    </w:p>
    <w:p w14:paraId="3DEAC8C0">
      <w:pPr>
        <w:pStyle w:val="2"/>
        <w:spacing w:line="252" w:lineRule="auto"/>
      </w:pPr>
    </w:p>
    <w:p w14:paraId="05469923">
      <w:pPr>
        <w:pStyle w:val="2"/>
        <w:spacing w:line="252" w:lineRule="auto"/>
      </w:pPr>
    </w:p>
    <w:p w14:paraId="33CF849F">
      <w:pPr>
        <w:pStyle w:val="2"/>
        <w:spacing w:line="252" w:lineRule="auto"/>
      </w:pPr>
    </w:p>
    <w:p w14:paraId="2A0033C0">
      <w:pPr>
        <w:pStyle w:val="2"/>
        <w:spacing w:line="252" w:lineRule="auto"/>
      </w:pPr>
    </w:p>
    <w:p w14:paraId="130D7536">
      <w:pPr>
        <w:pStyle w:val="2"/>
        <w:spacing w:line="252" w:lineRule="auto"/>
      </w:pPr>
    </w:p>
    <w:p w14:paraId="717F8874">
      <w:pPr>
        <w:pStyle w:val="2"/>
        <w:spacing w:line="252" w:lineRule="auto"/>
      </w:pPr>
    </w:p>
    <w:p w14:paraId="6262942F">
      <w:pPr>
        <w:pStyle w:val="2"/>
        <w:spacing w:line="252" w:lineRule="auto"/>
      </w:pPr>
    </w:p>
    <w:p w14:paraId="66C890F0">
      <w:pPr>
        <w:pStyle w:val="2"/>
        <w:spacing w:line="253" w:lineRule="auto"/>
      </w:pPr>
    </w:p>
    <w:p w14:paraId="3C327A56">
      <w:pPr>
        <w:spacing w:before="286" w:line="219" w:lineRule="auto"/>
        <w:ind w:left="1828"/>
        <w:rPr>
          <w:rFonts w:ascii="宋体" w:hAnsi="宋体" w:eastAsia="宋体" w:cs="宋体"/>
          <w:sz w:val="88"/>
          <w:szCs w:val="88"/>
        </w:rPr>
      </w:pPr>
      <w:r>
        <w:rPr>
          <w:rFonts w:ascii="宋体" w:hAnsi="宋体" w:eastAsia="宋体" w:cs="宋体"/>
          <w:b/>
          <w:bCs/>
          <w:color w:val="F01010"/>
          <w:spacing w:val="-66"/>
          <w:w w:val="77"/>
          <w:sz w:val="88"/>
          <w:szCs w:val="88"/>
        </w:rPr>
        <w:t>北京市大兴区人民政府文件</w:t>
      </w:r>
    </w:p>
    <w:p w14:paraId="51552AF5">
      <w:pPr>
        <w:pStyle w:val="2"/>
        <w:spacing w:line="276" w:lineRule="auto"/>
      </w:pPr>
    </w:p>
    <w:p w14:paraId="07BAC401">
      <w:pPr>
        <w:pStyle w:val="2"/>
        <w:spacing w:line="277" w:lineRule="auto"/>
      </w:pPr>
    </w:p>
    <w:p w14:paraId="41B3A513">
      <w:pPr>
        <w:pStyle w:val="2"/>
        <w:spacing w:line="277" w:lineRule="auto"/>
      </w:pPr>
    </w:p>
    <w:p w14:paraId="23C24035">
      <w:pPr>
        <w:pStyle w:val="2"/>
        <w:spacing w:line="277" w:lineRule="auto"/>
      </w:pPr>
    </w:p>
    <w:p w14:paraId="637233FE">
      <w:pPr>
        <w:spacing w:before="94" w:line="223" w:lineRule="auto"/>
        <w:ind w:left="397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京兴政发〔2025〕12号</w:t>
      </w:r>
    </w:p>
    <w:p w14:paraId="1BB3212C">
      <w:pPr>
        <w:spacing w:before="29" w:line="60" w:lineRule="exact"/>
        <w:ind w:firstLine="1379"/>
      </w:pPr>
      <w:r>
        <w:rPr>
          <w:position w:val="-1"/>
        </w:rPr>
        <w:drawing>
          <wp:inline distT="0" distB="0" distL="0" distR="0">
            <wp:extent cx="5130165" cy="3746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30788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D1142">
      <w:pPr>
        <w:pStyle w:val="2"/>
        <w:spacing w:line="298" w:lineRule="auto"/>
      </w:pPr>
    </w:p>
    <w:p w14:paraId="456A9A2D">
      <w:pPr>
        <w:pStyle w:val="2"/>
        <w:spacing w:line="299" w:lineRule="auto"/>
      </w:pPr>
    </w:p>
    <w:p w14:paraId="2DB46936">
      <w:pPr>
        <w:pStyle w:val="2"/>
        <w:spacing w:line="299" w:lineRule="auto"/>
      </w:pPr>
    </w:p>
    <w:p w14:paraId="0C68DDA6">
      <w:pPr>
        <w:spacing w:before="137" w:line="219" w:lineRule="auto"/>
        <w:ind w:left="346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2"/>
          <w:sz w:val="42"/>
          <w:szCs w:val="42"/>
        </w:rPr>
        <w:t>北京市大兴区人民政府</w:t>
      </w:r>
    </w:p>
    <w:p w14:paraId="32A56594">
      <w:pPr>
        <w:spacing w:before="2" w:line="206" w:lineRule="auto"/>
        <w:ind w:left="226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4"/>
          <w:sz w:val="42"/>
          <w:szCs w:val="42"/>
        </w:rPr>
        <w:t>关于重新公布大兴区征收农用地区片</w:t>
      </w:r>
    </w:p>
    <w:p w14:paraId="397F897F">
      <w:pPr>
        <w:spacing w:before="2" w:line="217" w:lineRule="auto"/>
        <w:ind w:left="3655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1"/>
          <w:sz w:val="42"/>
          <w:szCs w:val="42"/>
        </w:rPr>
        <w:t>综合地价比例的通知</w:t>
      </w:r>
    </w:p>
    <w:p w14:paraId="537B1968">
      <w:pPr>
        <w:pStyle w:val="2"/>
        <w:spacing w:line="244" w:lineRule="auto"/>
      </w:pPr>
    </w:p>
    <w:p w14:paraId="03961BE3">
      <w:pPr>
        <w:pStyle w:val="2"/>
        <w:spacing w:line="245" w:lineRule="auto"/>
      </w:pPr>
    </w:p>
    <w:p w14:paraId="2D2F1AF1">
      <w:pPr>
        <w:spacing w:before="95" w:line="222" w:lineRule="auto"/>
        <w:ind w:left="139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6"/>
          <w:sz w:val="29"/>
          <w:szCs w:val="29"/>
        </w:rPr>
        <w:t>各镇人民政府，区政府各委、办、局(公司)、中心，各街道办</w:t>
      </w:r>
      <w:r>
        <w:rPr>
          <w:rFonts w:ascii="仿宋" w:hAnsi="仿宋" w:eastAsia="仿宋" w:cs="仿宋"/>
          <w:spacing w:val="-17"/>
          <w:sz w:val="29"/>
          <w:szCs w:val="29"/>
        </w:rPr>
        <w:t>事处：</w:t>
      </w:r>
    </w:p>
    <w:p w14:paraId="31E1C82B">
      <w:pPr>
        <w:spacing w:before="122" w:line="293" w:lineRule="auto"/>
        <w:ind w:left="1399" w:right="1351" w:firstLine="59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为进一步做好征地补偿安置工作，切实维护好被</w:t>
      </w:r>
      <w:r>
        <w:rPr>
          <w:rFonts w:ascii="仿宋" w:hAnsi="仿宋" w:eastAsia="仿宋" w:cs="仿宋"/>
          <w:spacing w:val="-2"/>
          <w:sz w:val="29"/>
          <w:szCs w:val="29"/>
        </w:rPr>
        <w:t>征地农民的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合法权益，根据2024年5月《北京市人民政府关于重新公布&lt;北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京市征收农用地区片综合地价标准&gt;的通知》(京政发〔2024〕15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号)和《北京市规划和自然资源委员会关于重新公布征收农用地</w:t>
      </w:r>
      <w:r>
        <w:rPr>
          <w:rFonts w:ascii="仿宋" w:hAnsi="仿宋" w:eastAsia="仿宋" w:cs="仿宋"/>
          <w:spacing w:val="14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区片综合地价比例的函》(京规自函〔2024〕1143号)要求，现</w:t>
      </w:r>
      <w:r>
        <w:rPr>
          <w:rFonts w:ascii="仿宋" w:hAnsi="仿宋" w:eastAsia="仿宋" w:cs="仿宋"/>
          <w:spacing w:val="13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将我区土地补偿费和安置补助费的比例予以重新公布，并将有关</w:t>
      </w:r>
      <w:r>
        <w:rPr>
          <w:rFonts w:ascii="仿宋" w:hAnsi="仿宋" w:eastAsia="仿宋" w:cs="仿宋"/>
          <w:spacing w:val="6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1"/>
          <w:sz w:val="29"/>
          <w:szCs w:val="29"/>
        </w:rPr>
        <w:t>事项通知如下：</w:t>
      </w:r>
    </w:p>
    <w:p w14:paraId="236E067A">
      <w:pPr>
        <w:spacing w:before="74" w:line="293" w:lineRule="auto"/>
        <w:ind w:left="1399" w:right="1334" w:firstLine="60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一、征收农用地区片综合地价由土地补偿费和安置补助费两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部分构成，不包括农村村民住宅、其他地上附着物和青苗等的补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偿费用，以及被征地农民的社会保障费用。土地补偿费是对农民</w:t>
      </w:r>
    </w:p>
    <w:p w14:paraId="3F54A247">
      <w:pPr>
        <w:spacing w:before="93" w:line="241" w:lineRule="auto"/>
        <w:ind w:left="8890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5"/>
          <w:sz w:val="29"/>
          <w:szCs w:val="29"/>
        </w:rPr>
        <w:t>—1—</w:t>
      </w:r>
    </w:p>
    <w:p w14:paraId="1FB1A95D">
      <w:pPr>
        <w:pStyle w:val="2"/>
        <w:spacing w:line="248" w:lineRule="auto"/>
      </w:pPr>
    </w:p>
    <w:p w14:paraId="18987F5B">
      <w:pPr>
        <w:pStyle w:val="2"/>
        <w:spacing w:line="248" w:lineRule="auto"/>
      </w:pPr>
    </w:p>
    <w:p w14:paraId="45ECB558">
      <w:pPr>
        <w:pStyle w:val="2"/>
        <w:spacing w:line="248" w:lineRule="auto"/>
      </w:pPr>
    </w:p>
    <w:p w14:paraId="15B417B2">
      <w:pPr>
        <w:pStyle w:val="2"/>
        <w:spacing w:line="249" w:lineRule="auto"/>
      </w:pPr>
    </w:p>
    <w:p w14:paraId="03F85E6D">
      <w:pPr>
        <w:pStyle w:val="2"/>
        <w:spacing w:line="249" w:lineRule="auto"/>
      </w:pPr>
    </w:p>
    <w:p w14:paraId="1AD9203A">
      <w:pPr>
        <w:pStyle w:val="2"/>
        <w:spacing w:before="44" w:line="205" w:lineRule="exact"/>
        <w:jc w:val="right"/>
        <w:rPr>
          <w:sz w:val="15"/>
          <w:szCs w:val="15"/>
        </w:rPr>
      </w:pPr>
      <w:r>
        <w:rPr>
          <w:spacing w:val="-1"/>
          <w:position w:val="2"/>
          <w:sz w:val="15"/>
          <w:szCs w:val="15"/>
        </w:rPr>
        <w:t xml:space="preserve">                      1/2</w:t>
      </w:r>
    </w:p>
    <w:p w14:paraId="3CC341F8">
      <w:pPr>
        <w:spacing w:line="205" w:lineRule="exact"/>
        <w:rPr>
          <w:sz w:val="15"/>
          <w:szCs w:val="15"/>
        </w:rPr>
        <w:sectPr>
          <w:pgSz w:w="11900" w:h="16840"/>
          <w:pgMar w:top="292" w:right="547" w:bottom="0" w:left="490" w:header="0" w:footer="0" w:gutter="0"/>
          <w:cols w:space="720" w:num="1"/>
        </w:sectPr>
      </w:pPr>
    </w:p>
    <w:p w14:paraId="5F4A8D32">
      <w:pPr>
        <w:pStyle w:val="2"/>
        <w:spacing w:line="274" w:lineRule="auto"/>
      </w:pPr>
    </w:p>
    <w:p w14:paraId="41D03AAA">
      <w:pPr>
        <w:pStyle w:val="2"/>
        <w:spacing w:line="274" w:lineRule="auto"/>
      </w:pPr>
    </w:p>
    <w:p w14:paraId="6E2C6C33">
      <w:pPr>
        <w:pStyle w:val="2"/>
        <w:spacing w:line="274" w:lineRule="auto"/>
      </w:pPr>
    </w:p>
    <w:p w14:paraId="08BC6CF2">
      <w:pPr>
        <w:pStyle w:val="2"/>
        <w:spacing w:line="275" w:lineRule="auto"/>
      </w:pPr>
    </w:p>
    <w:p w14:paraId="767A0113">
      <w:pPr>
        <w:pStyle w:val="2"/>
        <w:spacing w:line="275" w:lineRule="auto"/>
      </w:pPr>
    </w:p>
    <w:p w14:paraId="2926EB84">
      <w:pPr>
        <w:spacing w:before="91" w:line="303" w:lineRule="auto"/>
        <w:ind w:left="1399" w:right="269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9"/>
          <w:sz w:val="28"/>
          <w:szCs w:val="28"/>
        </w:rPr>
        <w:t xml:space="preserve">集体土地所有权的补偿；安置补助费是对被征地农民重新安排生 </w:t>
      </w:r>
      <w:r>
        <w:rPr>
          <w:rFonts w:ascii="仿宋" w:hAnsi="仿宋" w:eastAsia="仿宋" w:cs="仿宋"/>
          <w:spacing w:val="7"/>
          <w:sz w:val="28"/>
          <w:szCs w:val="28"/>
        </w:rPr>
        <w:t>产生活的补助。征收农用地以外的其他土地(包括集体建设用地、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2"/>
          <w:sz w:val="28"/>
          <w:szCs w:val="28"/>
        </w:rPr>
        <w:t>未利用地),参照征收农用地区片综合地价标准执行。</w:t>
      </w:r>
    </w:p>
    <w:p w14:paraId="76CEF44E">
      <w:pPr>
        <w:spacing w:before="43" w:line="285" w:lineRule="auto"/>
        <w:ind w:left="1399" w:right="290" w:firstLine="6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二、我区共划分为两个区片，土地补偿费和安置补助费比例</w:t>
      </w:r>
      <w:r>
        <w:rPr>
          <w:rFonts w:ascii="仿宋" w:hAnsi="仿宋" w:eastAsia="仿宋" w:cs="仿宋"/>
          <w:spacing w:val="1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9"/>
          <w:sz w:val="28"/>
          <w:szCs w:val="28"/>
        </w:rPr>
        <w:t>与《北京市大兴区人民政府关于公布大兴区征收农用地区片综合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地价比例的通知》(京兴政发〔2021〕19号)规定的比例无变化，</w:t>
      </w:r>
      <w:r>
        <w:rPr>
          <w:rFonts w:ascii="仿宋" w:hAnsi="仿宋" w:eastAsia="仿宋" w:cs="仿宋"/>
          <w:spacing w:val="18"/>
          <w:sz w:val="28"/>
          <w:szCs w:val="28"/>
        </w:rPr>
        <w:t xml:space="preserve"> 为9:1,此次属于依法重新公布。</w:t>
      </w:r>
    </w:p>
    <w:p w14:paraId="6C96D88B">
      <w:pPr>
        <w:spacing w:before="138" w:line="261" w:lineRule="auto"/>
        <w:ind w:left="1399" w:right="369" w:firstLine="60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三、区有关部门、各镇人民政府、各街道办事处要加强组织</w:t>
      </w:r>
      <w:r>
        <w:rPr>
          <w:rFonts w:ascii="仿宋" w:hAnsi="仿宋" w:eastAsia="仿宋" w:cs="仿宋"/>
          <w:spacing w:val="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7"/>
          <w:sz w:val="28"/>
          <w:szCs w:val="28"/>
        </w:rPr>
        <w:t>领导，做好区片综合地价实施的政策衔接和宣传解读工作。</w:t>
      </w:r>
    </w:p>
    <w:p w14:paraId="6D2D0057">
      <w:pPr>
        <w:spacing w:before="137" w:line="295" w:lineRule="auto"/>
        <w:ind w:left="1379" w:right="363" w:firstLine="62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5"/>
          <w:sz w:val="28"/>
          <w:szCs w:val="28"/>
        </w:rPr>
        <w:t>四</w:t>
      </w:r>
      <w:r>
        <w:rPr>
          <w:rFonts w:ascii="仿宋" w:hAnsi="仿宋" w:eastAsia="仿宋" w:cs="仿宋"/>
          <w:spacing w:val="-6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5"/>
          <w:sz w:val="28"/>
          <w:szCs w:val="28"/>
        </w:rPr>
        <w:t>、本通知自发布之日起施行，《北京市大兴区人民政府关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于公布大兴区征收农用地区片综合地价比例的通知》(京兴政发</w:t>
      </w:r>
      <w:r>
        <w:rPr>
          <w:rFonts w:ascii="仿宋" w:hAnsi="仿宋" w:eastAsia="仿宋" w:cs="仿宋"/>
          <w:spacing w:val="8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3"/>
          <w:sz w:val="28"/>
          <w:szCs w:val="28"/>
        </w:rPr>
        <w:t>〔2021〕19号)同时废止。在本通知发布之日前，区政府已制定</w:t>
      </w:r>
      <w:r>
        <w:rPr>
          <w:rFonts w:ascii="仿宋" w:hAnsi="仿宋" w:eastAsia="仿宋" w:cs="仿宋"/>
          <w:spacing w:val="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并公告征地补偿安置方案的，可以按批准并公告的标准执</w:t>
      </w:r>
      <w:r>
        <w:rPr>
          <w:rFonts w:ascii="仿宋" w:hAnsi="仿宋" w:eastAsia="仿宋" w:cs="仿宋"/>
          <w:spacing w:val="9"/>
          <w:sz w:val="28"/>
          <w:szCs w:val="28"/>
        </w:rPr>
        <w:t>行；未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制定或未公告征地补偿安置方案的，按《北京市征收农用地区片</w:t>
      </w:r>
      <w:r>
        <w:rPr>
          <w:rFonts w:ascii="仿宋" w:hAnsi="仿宋" w:eastAsia="仿宋" w:cs="仿宋"/>
          <w:spacing w:val="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综合地价标准》(京政发〔2024〕15号)及本通知执行。</w:t>
      </w:r>
    </w:p>
    <w:p w14:paraId="257F7F9F">
      <w:pPr>
        <w:pStyle w:val="2"/>
        <w:spacing w:line="265" w:lineRule="auto"/>
      </w:pPr>
    </w:p>
    <w:p w14:paraId="5FA22C40">
      <w:pPr>
        <w:pStyle w:val="2"/>
        <w:spacing w:line="265" w:lineRule="auto"/>
      </w:pPr>
    </w:p>
    <w:p w14:paraId="3EE020E4">
      <w:pPr>
        <w:pStyle w:val="2"/>
        <w:spacing w:line="265" w:lineRule="auto"/>
      </w:pPr>
    </w:p>
    <w:p w14:paraId="45AC2D84">
      <w:pPr>
        <w:pStyle w:val="2"/>
        <w:spacing w:line="265" w:lineRule="auto"/>
      </w:pPr>
    </w:p>
    <w:p w14:paraId="29F295F8">
      <w:pPr>
        <w:spacing w:before="91" w:line="222" w:lineRule="auto"/>
        <w:ind w:left="57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sz w:val="28"/>
          <w:szCs w:val="28"/>
        </w:rPr>
        <w:t>北京市大兴区人民政府</w:t>
      </w:r>
    </w:p>
    <w:p w14:paraId="5F2D0586">
      <w:pPr>
        <w:spacing w:before="153" w:line="222" w:lineRule="auto"/>
        <w:ind w:left="59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7"/>
          <w:sz w:val="28"/>
          <w:szCs w:val="28"/>
        </w:rPr>
        <w:t>2025年12月12日</w:t>
      </w:r>
    </w:p>
    <w:p w14:paraId="730D036D">
      <w:pPr>
        <w:spacing w:before="130" w:line="220" w:lineRule="auto"/>
        <w:ind w:left="209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0"/>
          <w:sz w:val="28"/>
          <w:szCs w:val="28"/>
        </w:rPr>
        <w:t>(此件公开发布)</w:t>
      </w:r>
    </w:p>
    <w:p w14:paraId="7E745289">
      <w:pPr>
        <w:spacing w:before="4"/>
      </w:pPr>
    </w:p>
    <w:p w14:paraId="534CE2C6">
      <w:pPr>
        <w:spacing w:before="293" w:line="180" w:lineRule="auto"/>
        <w:ind w:left="1399"/>
        <w:rPr>
          <w:rFonts w:ascii="Times New Roman" w:hAnsi="Times New Roman" w:eastAsia="Times New Roman" w:cs="Times New Roman"/>
          <w:sz w:val="28"/>
          <w:szCs w:val="28"/>
        </w:rPr>
      </w:pPr>
    </w:p>
    <w:sectPr>
      <w:headerReference r:id="rId5" w:type="default"/>
      <w:footerReference r:id="rId6" w:type="default"/>
      <w:pgSz w:w="11900" w:h="16840"/>
      <w:pgMar w:top="546" w:right="1540" w:bottom="507" w:left="490" w:header="315" w:footer="3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A5436">
    <w:pPr>
      <w:pStyle w:val="2"/>
      <w:spacing w:line="194" w:lineRule="exact"/>
      <w:jc w:val="right"/>
      <w:rPr>
        <w:sz w:val="15"/>
        <w:szCs w:val="15"/>
      </w:rPr>
    </w:pPr>
    <w:r>
      <w:fldChar w:fldCharType="begin"/>
    </w:r>
    <w:r>
      <w:instrText xml:space="preserve"> HYPERLINK "172.28.65.176:8088/seeyon/govdoc/govdoc.do?method=summary&amp;isFromHome=true&amp;openFrom=listPending&amp;affairld=-4267293755547826134..2/2" </w:instrText>
    </w:r>
    <w:r>
      <w:fldChar w:fldCharType="separate"/>
    </w:r>
    <w:r>
      <w:rPr>
        <w:position w:val="2"/>
        <w:sz w:val="15"/>
        <w:szCs w:val="15"/>
      </w:rPr>
      <w:t>172.28.65.176:8088/seeyon/govdoc/govdoc.do?method=summary&amp;isFromHome=true&amp;openFrom=listPending&amp;affairld=-4</w:t>
    </w:r>
    <w:r>
      <w:rPr>
        <w:spacing w:val="-1"/>
        <w:position w:val="2"/>
        <w:sz w:val="15"/>
        <w:szCs w:val="15"/>
      </w:rPr>
      <w:t>267293755547826134..2/2</w:t>
    </w:r>
    <w:r>
      <w:rPr>
        <w:spacing w:val="-1"/>
        <w:position w:val="2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7E276">
    <w:pPr>
      <w:spacing w:before="39" w:line="221" w:lineRule="auto"/>
      <w:rPr>
        <w:rFonts w:ascii="黑体" w:hAnsi="黑体" w:eastAsia="黑体" w:cs="黑体"/>
        <w:sz w:val="15"/>
        <w:szCs w:val="15"/>
      </w:rPr>
    </w:pPr>
    <w:r>
      <w:rPr>
        <w:rFonts w:ascii="Times New Roman" w:hAnsi="Times New Roman" w:eastAsia="Times New Roman" w:cs="Times New Roman"/>
        <w:b/>
        <w:bCs/>
        <w:spacing w:val="6"/>
        <w:position w:val="1"/>
        <w:sz w:val="15"/>
        <w:szCs w:val="15"/>
      </w:rPr>
      <w:t>2025/12/1714:07</w:t>
    </w:r>
    <w:r>
      <w:rPr>
        <w:rFonts w:ascii="Times New Roman" w:hAnsi="Times New Roman" w:eastAsia="Times New Roman" w:cs="Times New Roman"/>
        <w:b/>
        <w:bCs/>
        <w:position w:val="1"/>
        <w:sz w:val="15"/>
        <w:szCs w:val="15"/>
      </w:rPr>
      <w:t xml:space="preserve">                                                                                         </w:t>
    </w:r>
    <w:r>
      <w:rPr>
        <w:rFonts w:ascii="黑体" w:hAnsi="黑体" w:eastAsia="黑体" w:cs="黑体"/>
        <w:spacing w:val="6"/>
        <w:sz w:val="15"/>
        <w:szCs w:val="15"/>
      </w:rPr>
      <w:t>关于重新公布大兴区征收农用地区片综合地价比例的通知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E40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868</Words>
  <Characters>1053</Characters>
  <TotalTime>2</TotalTime>
  <ScaleCrop>false</ScaleCrop>
  <LinksUpToDate>false</LinksUpToDate>
  <CharactersWithSpaces>1163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2026-04-09T15:37:00Z</dcterms:created>
  <dc:creator>HYB</dc:creator>
  <cp:lastModifiedBy>黄奕波</cp:lastModifiedBy>
  <dcterms:modified xsi:type="dcterms:W3CDTF">2026-04-09T07:38:10Z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2026-04-09T15:37:06Z</vt:filetime>
  </property>
  <property fmtid="{D5CDD505-2E9C-101B-9397-08002B2CF9AE}" pid="4" name="UsrData">
    <vt:lpwstr>69d7571f115626001faded08wl</vt:lpwstr>
  </property>
  <property fmtid="{D5CDD505-2E9C-101B-9397-08002B2CF9AE}" pid="5" name="KSOTemplateDocerSaveRecord">
    <vt:lpwstr>eyJoZGlkIjoiNmIzMTU2NjRhYzJkYWM1YTQ1NzQyMGEzZTA4ZmU4NWIiLCJ1c2VySWQiOiIxNjE1MzA0NDk3In0=</vt:lpwstr>
  </property>
  <property fmtid="{D5CDD505-2E9C-101B-9397-08002B2CF9AE}" pid="6" name="KSOProductBuildVer">
    <vt:lpwstr>2052-12.1.0.25225</vt:lpwstr>
  </property>
  <property fmtid="{D5CDD505-2E9C-101B-9397-08002B2CF9AE}" pid="7" name="ICV">
    <vt:lpwstr>452110AB5BAD474980E7115CE43B52C7_12</vt:lpwstr>
  </property>
</Properties>
</file>