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0" w:line="560" w:lineRule="exact"/>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left="0" w:leftChars="0"/>
        <w:jc w:val="center"/>
        <w:textAlignment w:val="auto"/>
        <w:outlineLvl w:val="0"/>
        <w:rPr>
          <w:rStyle w:val="5"/>
          <w:rFonts w:hint="eastAsia" w:ascii="黑体" w:hAnsi="黑体" w:eastAsia="黑体" w:cs="黑体"/>
          <w:b w:val="0"/>
          <w:bCs w:val="0"/>
          <w:color w:val="000000"/>
          <w:sz w:val="32"/>
          <w:szCs w:val="24"/>
          <w:highlight w:val="none"/>
          <w:shd w:val="clear" w:color="auto" w:fill="auto"/>
        </w:rPr>
      </w:pP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jc w:val="center"/>
        <w:textAlignment w:val="auto"/>
        <w:outlineLvl w:val="0"/>
        <w:rPr>
          <w:rStyle w:val="5"/>
          <w:rFonts w:hint="eastAsia" w:ascii="方正小标宋简体" w:hAnsi="方正小标宋简体" w:eastAsia="方正小标宋简体" w:cs="方正小标宋简体"/>
          <w:b w:val="0"/>
          <w:bCs/>
          <w:color w:val="000000"/>
          <w:sz w:val="44"/>
          <w:szCs w:val="44"/>
          <w:highlight w:val="none"/>
          <w:shd w:val="clear" w:color="auto" w:fill="FFFFFF"/>
        </w:rPr>
      </w:pPr>
      <w:r>
        <w:rPr>
          <w:rStyle w:val="5"/>
          <w:rFonts w:hint="eastAsia" w:ascii="方正小标宋简体" w:hAnsi="方正小标宋简体" w:eastAsia="方正小标宋简体" w:cs="方正小标宋简体"/>
          <w:b w:val="0"/>
          <w:bCs/>
          <w:color w:val="000000"/>
          <w:kern w:val="2"/>
          <w:sz w:val="44"/>
          <w:szCs w:val="44"/>
          <w:highlight w:val="none"/>
          <w:shd w:val="clear" w:color="auto" w:fill="FFFFFF"/>
        </w:rPr>
        <w:t>大兴区农村集体经营性建设用地入市土地</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jc w:val="center"/>
        <w:textAlignment w:val="auto"/>
        <w:outlineLvl w:val="0"/>
        <w:rPr>
          <w:rStyle w:val="5"/>
          <w:rFonts w:hint="eastAsia" w:ascii="方正小标宋简体" w:hAnsi="方正小标宋简体" w:eastAsia="方正小标宋简体" w:cs="方正小标宋简体"/>
          <w:b w:val="0"/>
          <w:bCs/>
          <w:color w:val="000000"/>
          <w:sz w:val="44"/>
          <w:szCs w:val="44"/>
          <w:highlight w:val="none"/>
          <w:shd w:val="clear" w:color="auto" w:fill="FFFFFF"/>
          <w:lang w:eastAsia="zh-CN"/>
        </w:rPr>
      </w:pPr>
      <w:r>
        <w:rPr>
          <w:rStyle w:val="5"/>
          <w:rFonts w:hint="eastAsia" w:ascii="方正小标宋简体" w:hAnsi="方正小标宋简体" w:eastAsia="方正小标宋简体" w:cs="方正小标宋简体"/>
          <w:b w:val="0"/>
          <w:bCs/>
          <w:color w:val="000000"/>
          <w:kern w:val="2"/>
          <w:sz w:val="44"/>
          <w:szCs w:val="44"/>
          <w:highlight w:val="none"/>
          <w:shd w:val="clear" w:color="auto" w:fill="FFFFFF"/>
        </w:rPr>
        <w:t>增值收益调节金征收使用管理办</w:t>
      </w:r>
      <w:r>
        <w:rPr>
          <w:rStyle w:val="5"/>
          <w:rFonts w:hint="eastAsia" w:ascii="方正小标宋简体" w:hAnsi="方正小标宋简体" w:eastAsia="方正小标宋简体" w:cs="方正小标宋简体"/>
          <w:b w:val="0"/>
          <w:bCs/>
          <w:color w:val="000000"/>
          <w:kern w:val="2"/>
          <w:sz w:val="44"/>
          <w:szCs w:val="44"/>
          <w:highlight w:val="none"/>
          <w:shd w:val="clear" w:color="auto" w:fill="FFFFFF"/>
          <w:lang w:eastAsia="zh-CN"/>
        </w:rPr>
        <w:t>法</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textAlignment w:val="auto"/>
        <w:rPr>
          <w:rFonts w:hint="eastAsia" w:ascii="仿宋_GB2312" w:hAnsi="仿宋_GB2312" w:eastAsia="仿宋_GB2312" w:cs="仿宋_GB2312"/>
          <w:color w:val="000000"/>
          <w:sz w:val="32"/>
          <w:szCs w:val="32"/>
          <w:highlight w:val="none"/>
          <w:shd w:val="clear" w:color="auto" w:fill="FFFFFF"/>
          <w:lang w:eastAsia="zh-CN"/>
        </w:rPr>
      </w:pPr>
    </w:p>
    <w:p>
      <w:pPr>
        <w:keepNext w:val="0"/>
        <w:keepLines w:val="0"/>
        <w:pageBreakBefore w:val="0"/>
        <w:widowControl w:val="0"/>
        <w:kinsoku/>
        <w:wordWrap/>
        <w:overflowPunct/>
        <w:topLinePunct w:val="0"/>
        <w:autoSpaceDE/>
        <w:bidi w:val="0"/>
        <w:adjustRightInd/>
        <w:snapToGrid/>
        <w:spacing w:beforeLines="0" w:line="560" w:lineRule="exact"/>
        <w:ind w:right="0" w:rightChars="0"/>
        <w:jc w:val="center"/>
        <w:textAlignment w:val="auto"/>
        <w:outlineLvl w:val="9"/>
        <w:rPr>
          <w:rFonts w:hint="eastAsia" w:ascii="黑体" w:hAnsi="楷体" w:eastAsia="黑体"/>
          <w:color w:val="auto"/>
          <w:sz w:val="32"/>
          <w:szCs w:val="32"/>
          <w:u w:val="none"/>
          <w:shd w:val="clear" w:color="auto" w:fill="auto"/>
          <w:lang w:eastAsia="zh-CN"/>
        </w:rPr>
      </w:pPr>
      <w:r>
        <w:rPr>
          <w:rFonts w:hint="eastAsia" w:ascii="黑体" w:hAnsi="楷体" w:eastAsia="黑体"/>
          <w:color w:val="auto"/>
          <w:sz w:val="32"/>
          <w:szCs w:val="32"/>
          <w:u w:val="none"/>
          <w:shd w:val="clear" w:color="auto" w:fill="auto"/>
          <w:lang w:eastAsia="zh-CN"/>
        </w:rPr>
        <w:t>第一章</w:t>
      </w:r>
      <w:r>
        <w:rPr>
          <w:rFonts w:hint="eastAsia" w:ascii="黑体" w:hAnsi="楷体" w:eastAsia="黑体"/>
          <w:color w:val="auto"/>
          <w:sz w:val="32"/>
          <w:szCs w:val="32"/>
          <w:u w:val="none"/>
          <w:shd w:val="clear" w:color="auto" w:fill="auto"/>
          <w:lang w:val="en-US" w:eastAsia="zh-CN"/>
        </w:rPr>
        <w:t xml:space="preserve"> 总则</w:t>
      </w:r>
    </w:p>
    <w:p>
      <w:pPr>
        <w:keepNext w:val="0"/>
        <w:keepLines w:val="0"/>
        <w:pageBreakBefore w:val="0"/>
        <w:widowControl w:val="0"/>
        <w:kinsoku/>
        <w:wordWrap/>
        <w:overflowPunct/>
        <w:topLinePunct w:val="0"/>
        <w:autoSpaceDE/>
        <w:bidi w:val="0"/>
        <w:adjustRightInd/>
        <w:snapToGrid/>
        <w:spacing w:beforeLines="0" w:line="560" w:lineRule="exact"/>
        <w:ind w:left="0" w:leftChars="0" w:right="0" w:rightChars="0" w:firstLine="640" w:firstLineChars="200"/>
        <w:textAlignment w:val="auto"/>
        <w:outlineLvl w:val="9"/>
        <w:rPr>
          <w:rFonts w:hint="eastAsia" w:ascii="仿宋_GB2312" w:hAnsi="仿宋" w:eastAsia="仿宋_GB2312"/>
          <w:color w:val="auto"/>
          <w:sz w:val="32"/>
          <w:szCs w:val="32"/>
          <w:u w:val="none"/>
          <w:shd w:val="clear" w:color="auto" w:fill="auto"/>
        </w:rPr>
      </w:pPr>
      <w:r>
        <w:rPr>
          <w:rFonts w:hint="eastAsia" w:ascii="黑体" w:hAnsi="楷体" w:eastAsia="黑体"/>
          <w:color w:val="auto"/>
          <w:sz w:val="32"/>
          <w:szCs w:val="32"/>
          <w:u w:val="none"/>
          <w:shd w:val="clear" w:color="auto" w:fill="auto"/>
        </w:rPr>
        <w:t>第一条</w:t>
      </w:r>
      <w:r>
        <w:rPr>
          <w:rFonts w:hint="eastAsia" w:ascii="黑体" w:hAnsi="楷体" w:eastAsia="黑体"/>
          <w:b/>
          <w:color w:val="auto"/>
          <w:sz w:val="32"/>
          <w:szCs w:val="32"/>
          <w:u w:val="none"/>
          <w:shd w:val="clear" w:color="auto" w:fill="auto"/>
        </w:rPr>
        <w:t xml:space="preserve">  </w:t>
      </w:r>
      <w:r>
        <w:rPr>
          <w:rFonts w:hint="eastAsia" w:ascii="仿宋_GB2312" w:hAnsi="仿宋" w:eastAsia="仿宋_GB2312"/>
          <w:color w:val="auto"/>
          <w:sz w:val="32"/>
          <w:szCs w:val="32"/>
          <w:u w:val="none"/>
          <w:shd w:val="clear" w:color="auto" w:fill="auto"/>
        </w:rPr>
        <w:t>为建立兼顾国家、集体、个人的土地增值收益分配机制，进一步规范土地增值收益调节金（以下简称调节金）征收和使用行为，根据《财政部</w:t>
      </w:r>
      <w:r>
        <w:rPr>
          <w:rFonts w:hint="eastAsia" w:ascii="仿宋_GB2312" w:eastAsia="仿宋_GB2312"/>
          <w:color w:val="auto"/>
          <w:sz w:val="32"/>
          <w:szCs w:val="32"/>
          <w:u w:val="none"/>
          <w:shd w:val="clear" w:color="auto" w:fill="auto"/>
        </w:rPr>
        <w:t xml:space="preserve"> </w:t>
      </w:r>
      <w:r>
        <w:rPr>
          <w:rFonts w:hint="eastAsia" w:ascii="仿宋_GB2312" w:hAnsi="仿宋" w:eastAsia="仿宋_GB2312"/>
          <w:color w:val="auto"/>
          <w:sz w:val="32"/>
          <w:szCs w:val="32"/>
          <w:u w:val="none"/>
          <w:shd w:val="clear" w:color="auto" w:fill="auto"/>
        </w:rPr>
        <w:t>国土资源部关于印发〈农村集体经营性建设用地土地增值收益调节金征收使用管理暂行办法〉的通知》（财税</w:t>
      </w:r>
      <w:r>
        <w:rPr>
          <w:rFonts w:hint="eastAsia" w:ascii="仿宋_GB2312" w:hAnsi="黑体" w:eastAsia="仿宋_GB2312"/>
          <w:color w:val="auto"/>
          <w:sz w:val="32"/>
          <w:szCs w:val="32"/>
          <w:u w:val="none"/>
          <w:shd w:val="clear" w:color="auto" w:fill="auto"/>
        </w:rPr>
        <w:t>〔</w:t>
      </w:r>
      <w:r>
        <w:rPr>
          <w:rFonts w:hint="eastAsia" w:ascii="仿宋_GB2312" w:eastAsia="仿宋_GB2312"/>
          <w:color w:val="auto"/>
          <w:sz w:val="32"/>
          <w:szCs w:val="32"/>
          <w:u w:val="none"/>
          <w:shd w:val="clear" w:color="auto" w:fill="auto"/>
        </w:rPr>
        <w:t>2016</w:t>
      </w:r>
      <w:r>
        <w:rPr>
          <w:rFonts w:hint="eastAsia" w:ascii="仿宋_GB2312" w:hAnsi="仿宋" w:eastAsia="仿宋_GB2312"/>
          <w:color w:val="auto"/>
          <w:sz w:val="32"/>
          <w:szCs w:val="32"/>
          <w:u w:val="none"/>
          <w:shd w:val="clear" w:color="auto" w:fill="auto"/>
        </w:rPr>
        <w:t>〕</w:t>
      </w:r>
      <w:r>
        <w:rPr>
          <w:rFonts w:hint="eastAsia" w:ascii="仿宋_GB2312" w:eastAsia="仿宋_GB2312"/>
          <w:color w:val="auto"/>
          <w:sz w:val="32"/>
          <w:szCs w:val="32"/>
          <w:u w:val="none"/>
          <w:shd w:val="clear" w:color="auto" w:fill="auto"/>
        </w:rPr>
        <w:t>41</w:t>
      </w:r>
      <w:r>
        <w:rPr>
          <w:rFonts w:hint="eastAsia" w:ascii="仿宋_GB2312" w:hAnsi="仿宋" w:eastAsia="仿宋_GB2312"/>
          <w:color w:val="auto"/>
          <w:sz w:val="32"/>
          <w:szCs w:val="32"/>
          <w:u w:val="none"/>
          <w:shd w:val="clear" w:color="auto" w:fill="auto"/>
        </w:rPr>
        <w:t>号）</w:t>
      </w:r>
      <w:r>
        <w:rPr>
          <w:rFonts w:hint="eastAsia" w:ascii="仿宋_GB2312" w:hAnsi="仿宋" w:eastAsia="仿宋_GB2312"/>
          <w:color w:val="auto"/>
          <w:sz w:val="32"/>
          <w:szCs w:val="32"/>
          <w:u w:val="none"/>
          <w:shd w:val="clear" w:color="auto" w:fill="auto"/>
          <w:lang w:eastAsia="zh-CN"/>
        </w:rPr>
        <w:t>和《财政部</w:t>
      </w:r>
      <w:r>
        <w:rPr>
          <w:rFonts w:hint="eastAsia" w:ascii="仿宋_GB2312" w:hAnsi="仿宋" w:eastAsia="仿宋_GB2312"/>
          <w:color w:val="auto"/>
          <w:sz w:val="32"/>
          <w:szCs w:val="32"/>
          <w:u w:val="none"/>
          <w:shd w:val="clear" w:color="auto" w:fill="auto"/>
          <w:lang w:val="en-US" w:eastAsia="zh-CN"/>
        </w:rPr>
        <w:t xml:space="preserve"> 自然资源部关于延续实施农村集体经营性建设用地土地增值收益调节金政策的通知》（财税〔2023</w:t>
      </w:r>
      <w:r>
        <w:rPr>
          <w:rFonts w:hint="eastAsia" w:ascii="仿宋_GB2312" w:hAnsi="仿宋" w:eastAsia="仿宋_GB2312"/>
          <w:color w:val="auto"/>
          <w:sz w:val="32"/>
          <w:szCs w:val="32"/>
          <w:u w:val="none"/>
          <w:shd w:val="clear" w:color="auto" w:fill="auto"/>
        </w:rPr>
        <w:t>〕</w:t>
      </w:r>
      <w:r>
        <w:rPr>
          <w:rFonts w:hint="eastAsia" w:ascii="仿宋_GB2312" w:hAnsi="仿宋" w:eastAsia="仿宋_GB2312"/>
          <w:color w:val="auto"/>
          <w:sz w:val="32"/>
          <w:szCs w:val="32"/>
          <w:u w:val="none"/>
          <w:shd w:val="clear" w:color="auto" w:fill="auto"/>
          <w:lang w:val="en-US" w:eastAsia="zh-CN"/>
        </w:rPr>
        <w:t>52号）</w:t>
      </w:r>
      <w:r>
        <w:rPr>
          <w:rFonts w:hint="eastAsia" w:ascii="仿宋_GB2312" w:hAnsi="仿宋" w:eastAsia="仿宋_GB2312"/>
          <w:color w:val="auto"/>
          <w:sz w:val="32"/>
          <w:szCs w:val="32"/>
          <w:u w:val="none"/>
          <w:shd w:val="clear" w:color="auto" w:fill="auto"/>
        </w:rPr>
        <w:t>等文件，结合本地实际，制订本办法。</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left="0" w:leftChars="0" w:right="0" w:rightChars="0" w:firstLine="640" w:firstLineChars="200"/>
        <w:textAlignment w:val="auto"/>
        <w:outlineLvl w:val="9"/>
        <w:rPr>
          <w:rFonts w:hint="eastAsia" w:ascii="仿宋_GB2312" w:hAnsi="仿宋" w:eastAsia="仿宋_GB2312"/>
          <w:color w:val="auto"/>
          <w:sz w:val="32"/>
          <w:szCs w:val="32"/>
          <w:u w:val="none"/>
          <w:shd w:val="clear" w:color="auto" w:fill="auto"/>
        </w:rPr>
      </w:pPr>
      <w:r>
        <w:rPr>
          <w:rFonts w:hint="eastAsia" w:ascii="黑体" w:hAnsi="楷体" w:eastAsia="黑体"/>
          <w:color w:val="auto"/>
          <w:sz w:val="32"/>
          <w:szCs w:val="32"/>
          <w:u w:val="none"/>
          <w:shd w:val="clear" w:color="auto" w:fill="auto"/>
        </w:rPr>
        <w:t>第二条</w:t>
      </w:r>
      <w:r>
        <w:rPr>
          <w:rFonts w:hint="eastAsia" w:ascii="仿宋_GB2312" w:hAnsi="仿宋" w:eastAsia="仿宋_GB2312"/>
          <w:color w:val="auto"/>
          <w:sz w:val="32"/>
          <w:szCs w:val="32"/>
          <w:u w:val="none"/>
          <w:shd w:val="clear" w:color="auto" w:fill="auto"/>
        </w:rPr>
        <w:t xml:space="preserve">  本办法所称农村集体经营性建设用地是指土地利用总体规划、城乡规划确定为工业、商业</w:t>
      </w:r>
      <w:r>
        <w:rPr>
          <w:rFonts w:hint="eastAsia" w:ascii="仿宋_GB2312" w:hAnsi="仿宋" w:eastAsia="仿宋_GB2312"/>
          <w:color w:val="auto"/>
          <w:sz w:val="32"/>
          <w:szCs w:val="32"/>
          <w:u w:val="none"/>
          <w:shd w:val="clear" w:color="auto" w:fill="auto"/>
          <w:lang w:eastAsia="zh-CN"/>
        </w:rPr>
        <w:t>、共有产权房、公共公益</w:t>
      </w:r>
      <w:r>
        <w:rPr>
          <w:rFonts w:hint="eastAsia" w:ascii="仿宋_GB2312" w:hAnsi="仿宋" w:eastAsia="仿宋_GB2312"/>
          <w:color w:val="auto"/>
          <w:sz w:val="32"/>
          <w:szCs w:val="32"/>
          <w:u w:val="none"/>
          <w:shd w:val="clear" w:color="auto" w:fill="auto"/>
        </w:rPr>
        <w:t>等用途，并经依法登记的集体建设用地</w:t>
      </w:r>
      <w:r>
        <w:rPr>
          <w:rFonts w:hint="eastAsia" w:ascii="仿宋_GB2312" w:hAnsi="仿宋_GB2312" w:eastAsia="仿宋_GB2312" w:cs="仿宋_GB2312"/>
          <w:color w:val="auto"/>
          <w:sz w:val="32"/>
          <w:szCs w:val="32"/>
          <w:u w:val="none"/>
          <w:shd w:val="clear" w:color="auto" w:fill="auto"/>
          <w:lang w:val="en-US" w:eastAsia="zh-CN"/>
        </w:rPr>
        <w:t>。</w:t>
      </w:r>
    </w:p>
    <w:p>
      <w:pPr>
        <w:keepNext w:val="0"/>
        <w:keepLines w:val="0"/>
        <w:pageBreakBefore w:val="0"/>
        <w:widowControl w:val="0"/>
        <w:kinsoku/>
        <w:wordWrap/>
        <w:overflowPunct/>
        <w:topLinePunct w:val="0"/>
        <w:autoSpaceDE/>
        <w:bidi w:val="0"/>
        <w:adjustRightInd/>
        <w:snapToGrid/>
        <w:spacing w:beforeLines="0" w:line="560" w:lineRule="exact"/>
        <w:ind w:left="0" w:leftChars="0" w:right="0" w:rightChars="0" w:firstLine="640" w:firstLineChars="200"/>
        <w:textAlignment w:val="auto"/>
        <w:outlineLvl w:val="9"/>
        <w:rPr>
          <w:rFonts w:hint="eastAsia" w:ascii="仿宋_GB2312" w:eastAsia="仿宋_GB2312"/>
          <w:color w:val="auto"/>
          <w:kern w:val="0"/>
          <w:sz w:val="32"/>
          <w:szCs w:val="32"/>
          <w:u w:val="none"/>
          <w:shd w:val="clear" w:color="auto" w:fill="auto"/>
        </w:rPr>
      </w:pPr>
      <w:r>
        <w:rPr>
          <w:rFonts w:hint="eastAsia" w:ascii="黑体" w:hAnsi="楷体" w:eastAsia="黑体"/>
          <w:color w:val="auto"/>
          <w:sz w:val="32"/>
          <w:szCs w:val="32"/>
          <w:u w:val="none"/>
          <w:shd w:val="clear" w:color="auto" w:fill="auto"/>
        </w:rPr>
        <w:t>第三条</w:t>
      </w:r>
      <w:r>
        <w:rPr>
          <w:rFonts w:hint="eastAsia" w:ascii="仿宋_GB2312" w:eastAsia="仿宋_GB2312"/>
          <w:color w:val="auto"/>
          <w:sz w:val="32"/>
          <w:szCs w:val="32"/>
          <w:u w:val="none"/>
          <w:shd w:val="clear" w:color="auto" w:fill="auto"/>
        </w:rPr>
        <w:t xml:space="preserve">  </w:t>
      </w:r>
      <w:r>
        <w:rPr>
          <w:rFonts w:hint="eastAsia" w:ascii="仿宋_GB2312" w:hAnsi="仿宋" w:eastAsia="仿宋_GB2312"/>
          <w:color w:val="auto"/>
          <w:kern w:val="0"/>
          <w:sz w:val="32"/>
          <w:szCs w:val="32"/>
          <w:u w:val="none"/>
          <w:shd w:val="clear" w:color="auto" w:fill="auto"/>
        </w:rPr>
        <w:t>本</w:t>
      </w:r>
      <w:r>
        <w:rPr>
          <w:rFonts w:hint="eastAsia" w:ascii="仿宋_GB2312" w:hAnsi="仿宋" w:eastAsia="仿宋_GB2312"/>
          <w:color w:val="auto"/>
          <w:sz w:val="32"/>
          <w:szCs w:val="32"/>
          <w:u w:val="none"/>
          <w:shd w:val="clear" w:color="auto" w:fill="auto"/>
        </w:rPr>
        <w:t>办法</w:t>
      </w:r>
      <w:r>
        <w:rPr>
          <w:rFonts w:hint="eastAsia" w:ascii="仿宋_GB2312" w:hAnsi="仿宋" w:eastAsia="仿宋_GB2312"/>
          <w:color w:val="auto"/>
          <w:kern w:val="0"/>
          <w:sz w:val="32"/>
          <w:szCs w:val="32"/>
          <w:u w:val="none"/>
          <w:shd w:val="clear" w:color="auto" w:fill="auto"/>
        </w:rPr>
        <w:t>所称调节金，是指按照建立同权同价、流转顺畅、收益共享的农村集体经营性建设用地入市制度的目标，在税法暂时没有覆盖农村集体经营性建设用地入市及</w:t>
      </w:r>
      <w:r>
        <w:rPr>
          <w:rFonts w:hint="eastAsia" w:ascii="仿宋_GB2312" w:hAnsi="仿宋" w:eastAsia="仿宋_GB2312"/>
          <w:color w:val="auto"/>
          <w:kern w:val="0"/>
          <w:sz w:val="32"/>
          <w:szCs w:val="32"/>
          <w:u w:val="none"/>
          <w:shd w:val="clear" w:color="auto" w:fill="auto"/>
          <w:lang w:eastAsia="zh-CN"/>
        </w:rPr>
        <w:t>再</w:t>
      </w:r>
      <w:r>
        <w:rPr>
          <w:rFonts w:hint="eastAsia" w:ascii="仿宋_GB2312" w:hAnsi="仿宋" w:eastAsia="仿宋_GB2312"/>
          <w:color w:val="auto"/>
          <w:kern w:val="0"/>
          <w:sz w:val="32"/>
          <w:szCs w:val="32"/>
          <w:u w:val="none"/>
          <w:shd w:val="clear" w:color="auto" w:fill="auto"/>
        </w:rPr>
        <w:t>转让环节情况下，对土地增值收益收取的资金。</w:t>
      </w:r>
    </w:p>
    <w:p>
      <w:pPr>
        <w:keepNext w:val="0"/>
        <w:keepLines w:val="0"/>
        <w:pageBreakBefore w:val="0"/>
        <w:widowControl w:val="0"/>
        <w:kinsoku/>
        <w:wordWrap/>
        <w:overflowPunct/>
        <w:topLinePunct w:val="0"/>
        <w:autoSpaceDE/>
        <w:bidi w:val="0"/>
        <w:adjustRightInd/>
        <w:snapToGrid/>
        <w:spacing w:beforeLines="0" w:line="560" w:lineRule="exact"/>
        <w:ind w:left="0" w:leftChars="0" w:right="0" w:rightChars="0" w:firstLine="640" w:firstLineChars="200"/>
        <w:textAlignment w:val="auto"/>
        <w:outlineLvl w:val="9"/>
        <w:rPr>
          <w:rFonts w:hint="eastAsia" w:ascii="仿宋_GB2312" w:hAnsi="仿宋" w:eastAsia="仿宋_GB2312"/>
          <w:color w:val="auto"/>
          <w:kern w:val="0"/>
          <w:sz w:val="32"/>
          <w:szCs w:val="32"/>
          <w:u w:val="none"/>
          <w:shd w:val="clear" w:color="auto" w:fill="auto"/>
        </w:rPr>
      </w:pPr>
      <w:r>
        <w:rPr>
          <w:rFonts w:hint="eastAsia" w:ascii="黑体" w:hAnsi="楷体" w:eastAsia="黑体"/>
          <w:color w:val="auto"/>
          <w:sz w:val="32"/>
          <w:szCs w:val="32"/>
          <w:u w:val="none"/>
          <w:shd w:val="clear" w:color="auto" w:fill="auto"/>
        </w:rPr>
        <w:t>第</w:t>
      </w:r>
      <w:r>
        <w:rPr>
          <w:rFonts w:hint="eastAsia" w:ascii="黑体" w:hAnsi="楷体" w:eastAsia="黑体"/>
          <w:color w:val="auto"/>
          <w:sz w:val="32"/>
          <w:szCs w:val="32"/>
          <w:u w:val="none"/>
          <w:shd w:val="clear" w:color="auto" w:fill="auto"/>
          <w:lang w:eastAsia="zh-CN"/>
        </w:rPr>
        <w:t>四</w:t>
      </w:r>
      <w:r>
        <w:rPr>
          <w:rFonts w:hint="eastAsia" w:ascii="黑体" w:hAnsi="楷体" w:eastAsia="黑体"/>
          <w:color w:val="auto"/>
          <w:sz w:val="32"/>
          <w:szCs w:val="32"/>
          <w:u w:val="none"/>
          <w:shd w:val="clear" w:color="auto" w:fill="auto"/>
        </w:rPr>
        <w:t>条</w:t>
      </w:r>
      <w:r>
        <w:rPr>
          <w:rFonts w:hint="eastAsia" w:ascii="仿宋_GB2312" w:hAnsi="仿宋" w:eastAsia="仿宋_GB2312"/>
          <w:color w:val="auto"/>
          <w:kern w:val="0"/>
          <w:sz w:val="32"/>
          <w:szCs w:val="32"/>
          <w:u w:val="none"/>
          <w:shd w:val="clear" w:color="auto" w:fill="auto"/>
        </w:rPr>
        <w:t xml:space="preserve">  大兴区集体经营性建设用地入市鼓励通过</w:t>
      </w:r>
      <w:r>
        <w:rPr>
          <w:rFonts w:hint="eastAsia" w:ascii="仿宋_GB2312" w:hAnsi="仿宋" w:eastAsia="仿宋_GB2312"/>
          <w:color w:val="auto"/>
          <w:kern w:val="0"/>
          <w:sz w:val="32"/>
          <w:szCs w:val="32"/>
          <w:u w:val="none"/>
          <w:shd w:val="clear" w:color="auto" w:fill="auto"/>
          <w:lang w:eastAsia="zh-CN"/>
        </w:rPr>
        <w:t>“</w:t>
      </w:r>
      <w:r>
        <w:rPr>
          <w:rFonts w:hint="eastAsia" w:ascii="仿宋_GB2312" w:hAnsi="仿宋" w:eastAsia="仿宋_GB2312"/>
          <w:color w:val="auto"/>
          <w:kern w:val="0"/>
          <w:sz w:val="32"/>
          <w:szCs w:val="32"/>
          <w:u w:val="none"/>
          <w:shd w:val="clear" w:color="auto" w:fill="auto"/>
        </w:rPr>
        <w:t>镇级统筹</w:t>
      </w:r>
      <w:r>
        <w:rPr>
          <w:rFonts w:hint="eastAsia" w:ascii="仿宋_GB2312" w:hAnsi="仿宋" w:eastAsia="仿宋_GB2312"/>
          <w:color w:val="auto"/>
          <w:kern w:val="0"/>
          <w:sz w:val="32"/>
          <w:szCs w:val="32"/>
          <w:u w:val="none"/>
          <w:shd w:val="clear" w:color="auto" w:fill="auto"/>
          <w:lang w:eastAsia="zh-CN"/>
        </w:rPr>
        <w:t>”</w:t>
      </w:r>
      <w:r>
        <w:rPr>
          <w:rFonts w:hint="eastAsia" w:ascii="仿宋_GB2312" w:hAnsi="仿宋" w:eastAsia="仿宋_GB2312"/>
          <w:color w:val="auto"/>
          <w:kern w:val="0"/>
          <w:sz w:val="32"/>
          <w:szCs w:val="32"/>
          <w:u w:val="none"/>
          <w:shd w:val="clear" w:color="auto" w:fill="auto"/>
        </w:rPr>
        <w:t>操作模式推进</w:t>
      </w:r>
      <w:r>
        <w:rPr>
          <w:rFonts w:hint="eastAsia" w:ascii="仿宋_GB2312" w:hAnsi="仿宋" w:eastAsia="仿宋_GB2312"/>
          <w:color w:val="auto"/>
          <w:kern w:val="0"/>
          <w:sz w:val="32"/>
          <w:szCs w:val="32"/>
          <w:u w:val="none"/>
          <w:shd w:val="clear" w:color="auto" w:fill="auto"/>
          <w:lang w:eastAsia="zh-CN"/>
        </w:rPr>
        <w:t>。</w:t>
      </w:r>
    </w:p>
    <w:p>
      <w:pPr>
        <w:keepNext w:val="0"/>
        <w:keepLines w:val="0"/>
        <w:pageBreakBefore w:val="0"/>
        <w:widowControl w:val="0"/>
        <w:kinsoku/>
        <w:wordWrap/>
        <w:overflowPunct/>
        <w:topLinePunct w:val="0"/>
        <w:autoSpaceDE/>
        <w:bidi w:val="0"/>
        <w:adjustRightInd/>
        <w:snapToGrid/>
        <w:spacing w:beforeLines="0" w:line="560" w:lineRule="exact"/>
        <w:ind w:right="0" w:rightChars="0"/>
        <w:jc w:val="center"/>
        <w:textAlignment w:val="auto"/>
        <w:outlineLvl w:val="9"/>
        <w:rPr>
          <w:rFonts w:hint="eastAsia" w:ascii="黑体" w:hAnsi="楷体" w:eastAsia="黑体"/>
          <w:color w:val="auto"/>
          <w:sz w:val="32"/>
          <w:szCs w:val="32"/>
          <w:highlight w:val="none"/>
          <w:u w:val="none"/>
          <w:shd w:val="clear" w:color="auto" w:fill="auto"/>
          <w:lang w:eastAsia="zh-CN"/>
        </w:rPr>
      </w:pPr>
      <w:r>
        <w:rPr>
          <w:rFonts w:hint="eastAsia" w:ascii="黑体" w:hAnsi="楷体" w:eastAsia="黑体"/>
          <w:color w:val="auto"/>
          <w:sz w:val="32"/>
          <w:szCs w:val="32"/>
          <w:highlight w:val="none"/>
          <w:u w:val="none"/>
          <w:shd w:val="clear" w:color="auto" w:fill="auto"/>
          <w:lang w:eastAsia="zh-CN"/>
        </w:rPr>
        <w:t>第二章</w:t>
      </w:r>
      <w:r>
        <w:rPr>
          <w:rFonts w:hint="eastAsia" w:ascii="黑体" w:hAnsi="楷体" w:eastAsia="黑体"/>
          <w:color w:val="auto"/>
          <w:sz w:val="32"/>
          <w:szCs w:val="32"/>
          <w:highlight w:val="none"/>
          <w:u w:val="none"/>
          <w:shd w:val="clear" w:color="auto" w:fill="auto"/>
          <w:lang w:val="en-US" w:eastAsia="zh-CN"/>
        </w:rPr>
        <w:t xml:space="preserve"> 征收范围</w:t>
      </w:r>
    </w:p>
    <w:p>
      <w:pPr>
        <w:keepNext w:val="0"/>
        <w:keepLines w:val="0"/>
        <w:pageBreakBefore w:val="0"/>
        <w:widowControl w:val="0"/>
        <w:kinsoku/>
        <w:wordWrap/>
        <w:overflowPunct/>
        <w:topLinePunct w:val="0"/>
        <w:autoSpaceDE/>
        <w:bidi w:val="0"/>
        <w:adjustRightInd/>
        <w:snapToGrid/>
        <w:spacing w:beforeLines="0" w:line="560" w:lineRule="exact"/>
        <w:ind w:left="0" w:leftChars="0" w:right="0" w:rightChars="0" w:firstLine="645"/>
        <w:textAlignment w:val="auto"/>
        <w:outlineLvl w:val="9"/>
        <w:rPr>
          <w:rFonts w:hint="eastAsia" w:ascii="仿宋_GB2312" w:eastAsia="仿宋_GB2312"/>
          <w:color w:val="auto"/>
          <w:sz w:val="32"/>
          <w:szCs w:val="32"/>
          <w:highlight w:val="none"/>
          <w:u w:val="none"/>
          <w:shd w:val="clear" w:color="auto" w:fill="auto"/>
          <w:lang w:eastAsia="zh-CN"/>
        </w:rPr>
      </w:pPr>
      <w:r>
        <w:rPr>
          <w:rFonts w:hint="eastAsia" w:ascii="黑体" w:hAnsi="楷体" w:eastAsia="黑体"/>
          <w:color w:val="auto"/>
          <w:sz w:val="32"/>
          <w:szCs w:val="32"/>
          <w:highlight w:val="none"/>
          <w:u w:val="none"/>
          <w:shd w:val="clear" w:color="auto" w:fill="auto"/>
        </w:rPr>
        <w:t>第</w:t>
      </w:r>
      <w:r>
        <w:rPr>
          <w:rFonts w:hint="eastAsia" w:ascii="黑体" w:hAnsi="楷体" w:eastAsia="黑体"/>
          <w:color w:val="auto"/>
          <w:sz w:val="32"/>
          <w:szCs w:val="32"/>
          <w:highlight w:val="none"/>
          <w:u w:val="none"/>
          <w:shd w:val="clear" w:color="auto" w:fill="auto"/>
          <w:lang w:eastAsia="zh-CN"/>
        </w:rPr>
        <w:t>五</w:t>
      </w:r>
      <w:r>
        <w:rPr>
          <w:rFonts w:hint="eastAsia" w:ascii="黑体" w:hAnsi="楷体" w:eastAsia="黑体"/>
          <w:color w:val="auto"/>
          <w:sz w:val="32"/>
          <w:szCs w:val="32"/>
          <w:highlight w:val="none"/>
          <w:u w:val="none"/>
          <w:shd w:val="clear" w:color="auto" w:fill="auto"/>
        </w:rPr>
        <w:t>条</w:t>
      </w:r>
      <w:r>
        <w:rPr>
          <w:rFonts w:hint="eastAsia" w:ascii="仿宋_GB2312" w:eastAsia="仿宋_GB2312"/>
          <w:color w:val="auto"/>
          <w:sz w:val="32"/>
          <w:szCs w:val="32"/>
          <w:highlight w:val="none"/>
          <w:u w:val="none"/>
          <w:shd w:val="clear" w:color="auto" w:fill="auto"/>
        </w:rPr>
        <w:t xml:space="preserve"> </w:t>
      </w:r>
      <w:r>
        <w:rPr>
          <w:rFonts w:hint="eastAsia" w:ascii="仿宋_GB2312" w:eastAsia="仿宋_GB2312"/>
          <w:color w:val="auto"/>
          <w:sz w:val="32"/>
          <w:szCs w:val="32"/>
          <w:highlight w:val="none"/>
          <w:u w:val="none"/>
          <w:shd w:val="clear" w:color="auto" w:fill="auto"/>
          <w:lang w:val="en-US" w:eastAsia="zh-CN"/>
        </w:rPr>
        <w:t xml:space="preserve"> </w:t>
      </w:r>
      <w:r>
        <w:rPr>
          <w:rFonts w:hint="eastAsia" w:ascii="仿宋_GB2312" w:hAnsi="仿宋" w:eastAsia="仿宋_GB2312"/>
          <w:color w:val="auto"/>
          <w:kern w:val="0"/>
          <w:sz w:val="32"/>
          <w:szCs w:val="32"/>
          <w:u w:val="none"/>
          <w:shd w:val="clear" w:color="auto" w:fill="auto"/>
          <w:lang w:eastAsia="zh-CN"/>
        </w:rPr>
        <w:t>集建地的出让方</w:t>
      </w:r>
      <w:r>
        <w:rPr>
          <w:rFonts w:hint="eastAsia" w:ascii="仿宋_GB2312" w:eastAsia="仿宋_GB2312"/>
          <w:color w:val="auto"/>
          <w:sz w:val="32"/>
          <w:szCs w:val="32"/>
          <w:highlight w:val="none"/>
          <w:u w:val="none"/>
          <w:shd w:val="clear" w:color="auto" w:fill="auto"/>
        </w:rPr>
        <w:t>通过出让、租赁、作价出资（入股）等方式取得农村集体经营性建设用地入市收益，以及入市后的农村集体经营性建设用地土地使用权人以出售、交换、赠与、出租、作价出资（入股）或其他视同转让等方式取得再转让收益时，应缴纳调节金。</w:t>
      </w:r>
    </w:p>
    <w:p>
      <w:pPr>
        <w:keepNext w:val="0"/>
        <w:keepLines w:val="0"/>
        <w:pageBreakBefore w:val="0"/>
        <w:widowControl w:val="0"/>
        <w:kinsoku/>
        <w:wordWrap/>
        <w:overflowPunct/>
        <w:topLinePunct w:val="0"/>
        <w:autoSpaceDE/>
        <w:bidi w:val="0"/>
        <w:adjustRightInd/>
        <w:snapToGrid/>
        <w:spacing w:beforeLines="0" w:line="560" w:lineRule="exact"/>
        <w:ind w:left="0" w:leftChars="0" w:right="0" w:rightChars="0" w:firstLine="645"/>
        <w:textAlignment w:val="auto"/>
        <w:outlineLvl w:val="9"/>
        <w:rPr>
          <w:rFonts w:hint="eastAsia" w:ascii="仿宋_GB2312" w:eastAsia="仿宋_GB2312"/>
          <w:color w:val="auto"/>
          <w:sz w:val="32"/>
          <w:szCs w:val="32"/>
          <w:highlight w:val="none"/>
          <w:u w:val="none"/>
          <w:shd w:val="clear" w:color="auto" w:fill="auto"/>
        </w:rPr>
      </w:pPr>
      <w:r>
        <w:rPr>
          <w:rFonts w:hint="eastAsia" w:ascii="黑体" w:hAnsi="楷体" w:eastAsia="黑体"/>
          <w:color w:val="auto"/>
          <w:sz w:val="32"/>
          <w:szCs w:val="32"/>
          <w:highlight w:val="none"/>
          <w:u w:val="none"/>
          <w:shd w:val="clear" w:color="auto" w:fill="auto"/>
          <w:lang w:eastAsia="zh-CN"/>
        </w:rPr>
        <w:t>第六条</w:t>
      </w:r>
      <w:r>
        <w:rPr>
          <w:rFonts w:hint="eastAsia" w:ascii="黑体" w:hAnsi="楷体" w:eastAsia="黑体"/>
          <w:color w:val="auto"/>
          <w:sz w:val="32"/>
          <w:szCs w:val="32"/>
          <w:highlight w:val="none"/>
          <w:u w:val="none"/>
          <w:shd w:val="clear" w:color="auto" w:fill="auto"/>
          <w:lang w:val="en-US" w:eastAsia="zh-CN"/>
        </w:rPr>
        <w:t xml:space="preserve"> </w:t>
      </w:r>
      <w:r>
        <w:rPr>
          <w:rFonts w:hint="eastAsia" w:ascii="仿宋_GB2312" w:eastAsia="仿宋_GB2312"/>
          <w:color w:val="auto"/>
          <w:sz w:val="32"/>
          <w:szCs w:val="32"/>
          <w:highlight w:val="none"/>
          <w:u w:val="none"/>
          <w:shd w:val="clear" w:color="auto" w:fill="auto"/>
          <w:lang w:val="en-US" w:eastAsia="zh-CN"/>
        </w:rPr>
        <w:t xml:space="preserve"> </w:t>
      </w:r>
      <w:r>
        <w:rPr>
          <w:rFonts w:hint="eastAsia" w:ascii="仿宋_GB2312" w:eastAsia="仿宋_GB2312"/>
          <w:color w:val="auto"/>
          <w:sz w:val="32"/>
          <w:szCs w:val="32"/>
          <w:highlight w:val="none"/>
          <w:u w:val="none"/>
          <w:shd w:val="clear" w:color="auto" w:fill="auto"/>
        </w:rPr>
        <w:t>调节金征收对象包括出让方</w:t>
      </w:r>
      <w:r>
        <w:rPr>
          <w:rFonts w:hint="eastAsia" w:ascii="仿宋_GB2312" w:eastAsia="仿宋_GB2312"/>
          <w:color w:val="auto"/>
          <w:sz w:val="32"/>
          <w:szCs w:val="32"/>
          <w:highlight w:val="none"/>
          <w:u w:val="none"/>
          <w:shd w:val="clear" w:color="auto" w:fill="auto"/>
          <w:lang w:eastAsia="zh-CN"/>
        </w:rPr>
        <w:t>、出租方、作价出资（入股）方及再转让方</w:t>
      </w:r>
      <w:r>
        <w:rPr>
          <w:rFonts w:hint="eastAsia" w:ascii="仿宋_GB2312" w:eastAsia="仿宋_GB2312"/>
          <w:color w:val="auto"/>
          <w:sz w:val="32"/>
          <w:szCs w:val="32"/>
          <w:highlight w:val="none"/>
          <w:u w:val="none"/>
          <w:shd w:val="clear" w:color="auto" w:fill="auto"/>
        </w:rPr>
        <w:t>。</w:t>
      </w:r>
    </w:p>
    <w:p>
      <w:pPr>
        <w:keepNext w:val="0"/>
        <w:keepLines w:val="0"/>
        <w:pageBreakBefore w:val="0"/>
        <w:widowControl w:val="0"/>
        <w:kinsoku/>
        <w:wordWrap/>
        <w:overflowPunct/>
        <w:topLinePunct w:val="0"/>
        <w:autoSpaceDE/>
        <w:bidi w:val="0"/>
        <w:adjustRightInd/>
        <w:snapToGrid/>
        <w:spacing w:beforeLines="0" w:line="560" w:lineRule="exact"/>
        <w:ind w:left="0" w:leftChars="0" w:right="0" w:rightChars="0" w:firstLine="645"/>
        <w:textAlignment w:val="auto"/>
        <w:outlineLvl w:val="9"/>
        <w:rPr>
          <w:rFonts w:hint="eastAsia" w:ascii="仿宋_GB2312" w:eastAsia="仿宋_GB2312"/>
          <w:color w:val="auto"/>
          <w:sz w:val="32"/>
          <w:szCs w:val="32"/>
          <w:highlight w:val="none"/>
          <w:u w:val="none"/>
          <w:shd w:val="clear" w:color="auto" w:fill="auto"/>
          <w:lang w:val="en-US" w:eastAsia="zh-CN"/>
        </w:rPr>
      </w:pPr>
      <w:r>
        <w:rPr>
          <w:rFonts w:hint="eastAsia" w:ascii="黑体" w:hAnsi="楷体" w:eastAsia="黑体"/>
          <w:color w:val="auto"/>
          <w:sz w:val="32"/>
          <w:szCs w:val="32"/>
          <w:highlight w:val="none"/>
          <w:u w:val="none"/>
          <w:shd w:val="clear" w:color="auto" w:fill="auto"/>
          <w:lang w:eastAsia="zh-CN"/>
        </w:rPr>
        <w:t>第七条</w:t>
      </w:r>
      <w:r>
        <w:rPr>
          <w:rFonts w:hint="eastAsia" w:ascii="黑体" w:hAnsi="楷体" w:eastAsia="黑体"/>
          <w:color w:val="auto"/>
          <w:sz w:val="32"/>
          <w:szCs w:val="32"/>
          <w:highlight w:val="none"/>
          <w:u w:val="none"/>
          <w:shd w:val="clear" w:color="auto" w:fill="auto"/>
          <w:lang w:val="en-US" w:eastAsia="zh-CN"/>
        </w:rPr>
        <w:t xml:space="preserve">  </w:t>
      </w:r>
      <w:r>
        <w:rPr>
          <w:rFonts w:hint="eastAsia" w:ascii="仿宋_GB2312" w:eastAsia="仿宋_GB2312"/>
          <w:color w:val="auto"/>
          <w:sz w:val="32"/>
          <w:szCs w:val="32"/>
          <w:highlight w:val="none"/>
          <w:u w:val="none"/>
          <w:shd w:val="clear" w:color="auto" w:fill="auto"/>
          <w:lang w:val="en-US" w:eastAsia="zh-CN"/>
        </w:rPr>
        <w:t>根据《国土资源部关于印发农村土地征收、集体经营性建设用地入市和宅基地制度改革试点实施细则的通知》（国土资发〔2015〕35号）中明确建立“同权同价、流转顺畅、收益共享”的农村集体经营性建设用地入市制度的原则，对于取得共有产权房不动产权证的个人，再转让时暂不征收调节金。</w:t>
      </w:r>
    </w:p>
    <w:p>
      <w:pPr>
        <w:keepNext w:val="0"/>
        <w:keepLines w:val="0"/>
        <w:pageBreakBefore w:val="0"/>
        <w:widowControl w:val="0"/>
        <w:kinsoku/>
        <w:wordWrap/>
        <w:overflowPunct/>
        <w:topLinePunct w:val="0"/>
        <w:autoSpaceDE/>
        <w:bidi w:val="0"/>
        <w:adjustRightInd/>
        <w:snapToGrid/>
        <w:spacing w:beforeLines="0" w:line="560" w:lineRule="exact"/>
        <w:ind w:right="0" w:rightChars="0"/>
        <w:jc w:val="center"/>
        <w:textAlignment w:val="auto"/>
        <w:outlineLvl w:val="9"/>
        <w:rPr>
          <w:rFonts w:hint="eastAsia" w:ascii="黑体" w:hAnsi="楷体" w:eastAsia="黑体"/>
          <w:color w:val="auto"/>
          <w:sz w:val="32"/>
          <w:szCs w:val="32"/>
          <w:u w:val="none"/>
          <w:shd w:val="clear" w:color="auto" w:fill="auto"/>
          <w:lang w:eastAsia="zh-CN"/>
        </w:rPr>
      </w:pPr>
      <w:r>
        <w:rPr>
          <w:rFonts w:hint="eastAsia" w:ascii="黑体" w:hAnsi="楷体" w:eastAsia="黑体"/>
          <w:color w:val="auto"/>
          <w:sz w:val="32"/>
          <w:szCs w:val="32"/>
          <w:u w:val="none"/>
          <w:shd w:val="clear" w:color="auto" w:fill="auto"/>
          <w:lang w:eastAsia="zh-CN"/>
        </w:rPr>
        <w:t>第三章</w:t>
      </w:r>
      <w:r>
        <w:rPr>
          <w:rFonts w:hint="eastAsia" w:ascii="黑体" w:hAnsi="楷体" w:eastAsia="黑体"/>
          <w:color w:val="auto"/>
          <w:sz w:val="32"/>
          <w:szCs w:val="32"/>
          <w:u w:val="none"/>
          <w:shd w:val="clear" w:color="auto" w:fill="auto"/>
          <w:lang w:val="en-US" w:eastAsia="zh-CN"/>
        </w:rPr>
        <w:t xml:space="preserve"> 征收标准</w:t>
      </w:r>
    </w:p>
    <w:p>
      <w:pPr>
        <w:keepNext w:val="0"/>
        <w:keepLines w:val="0"/>
        <w:pageBreakBefore w:val="0"/>
        <w:widowControl w:val="0"/>
        <w:kinsoku/>
        <w:wordWrap/>
        <w:overflowPunct/>
        <w:topLinePunct w:val="0"/>
        <w:autoSpaceDE/>
        <w:autoSpaceDN w:val="0"/>
        <w:bidi w:val="0"/>
        <w:adjustRightInd/>
        <w:snapToGrid/>
        <w:spacing w:beforeLines="0" w:line="560" w:lineRule="exact"/>
        <w:ind w:left="0" w:leftChars="0" w:right="0" w:rightChars="0" w:firstLine="645"/>
        <w:textAlignment w:val="auto"/>
        <w:outlineLvl w:val="9"/>
        <w:rPr>
          <w:rFonts w:hint="eastAsia" w:ascii="仿宋_GB2312" w:eastAsia="仿宋_GB2312"/>
          <w:color w:val="auto"/>
          <w:sz w:val="32"/>
          <w:szCs w:val="32"/>
          <w:u w:val="none"/>
          <w:shd w:val="clear" w:color="auto" w:fill="auto"/>
        </w:rPr>
      </w:pPr>
      <w:r>
        <w:rPr>
          <w:rFonts w:hint="eastAsia" w:ascii="黑体" w:hAnsi="楷体" w:eastAsia="黑体"/>
          <w:color w:val="auto"/>
          <w:sz w:val="32"/>
          <w:szCs w:val="32"/>
          <w:u w:val="none"/>
          <w:shd w:val="clear" w:color="auto" w:fill="auto"/>
        </w:rPr>
        <w:t>第</w:t>
      </w:r>
      <w:r>
        <w:rPr>
          <w:rFonts w:hint="eastAsia" w:ascii="黑体" w:hAnsi="楷体" w:eastAsia="黑体"/>
          <w:color w:val="auto"/>
          <w:sz w:val="32"/>
          <w:szCs w:val="32"/>
          <w:u w:val="none"/>
          <w:shd w:val="clear" w:color="auto" w:fill="auto"/>
          <w:lang w:eastAsia="zh-CN"/>
        </w:rPr>
        <w:t>八</w:t>
      </w:r>
      <w:r>
        <w:rPr>
          <w:rFonts w:hint="eastAsia" w:ascii="黑体" w:hAnsi="楷体" w:eastAsia="黑体"/>
          <w:color w:val="auto"/>
          <w:sz w:val="32"/>
          <w:szCs w:val="32"/>
          <w:u w:val="none"/>
          <w:shd w:val="clear" w:color="auto" w:fill="auto"/>
        </w:rPr>
        <w:t>条</w:t>
      </w:r>
      <w:r>
        <w:rPr>
          <w:rFonts w:hint="eastAsia" w:ascii="仿宋_GB2312" w:eastAsia="仿宋_GB2312"/>
          <w:color w:val="auto"/>
          <w:sz w:val="32"/>
          <w:szCs w:val="32"/>
          <w:u w:val="none"/>
          <w:shd w:val="clear" w:color="auto" w:fill="auto"/>
        </w:rPr>
        <w:t xml:space="preserve">  综合考虑土地用途、土地等级、交易方式等因素，按照鼓励市场竞争原则，调节金征收比例为：</w:t>
      </w:r>
    </w:p>
    <w:p>
      <w:pPr>
        <w:keepNext w:val="0"/>
        <w:keepLines w:val="0"/>
        <w:pageBreakBefore w:val="0"/>
        <w:widowControl w:val="0"/>
        <w:kinsoku/>
        <w:wordWrap/>
        <w:overflowPunct/>
        <w:topLinePunct w:val="0"/>
        <w:autoSpaceDE/>
        <w:autoSpaceDN w:val="0"/>
        <w:bidi w:val="0"/>
        <w:adjustRightInd/>
        <w:snapToGrid/>
        <w:spacing w:beforeLines="0" w:line="560" w:lineRule="exact"/>
        <w:ind w:left="0" w:leftChars="0" w:right="0" w:rightChars="0" w:firstLine="645"/>
        <w:textAlignment w:val="auto"/>
        <w:outlineLvl w:val="9"/>
        <w:rPr>
          <w:rFonts w:hint="eastAsia" w:ascii="仿宋_GB2312" w:eastAsia="仿宋_GB2312"/>
          <w:color w:val="auto"/>
          <w:sz w:val="32"/>
          <w:szCs w:val="32"/>
          <w:u w:val="none"/>
          <w:shd w:val="clear" w:color="auto" w:fill="auto"/>
        </w:rPr>
      </w:pPr>
      <w:r>
        <w:rPr>
          <w:rFonts w:hint="eastAsia" w:ascii="仿宋_GB2312" w:eastAsia="仿宋_GB2312"/>
          <w:color w:val="auto"/>
          <w:sz w:val="32"/>
          <w:szCs w:val="32"/>
          <w:u w:val="none"/>
          <w:shd w:val="clear" w:color="auto" w:fill="auto"/>
        </w:rPr>
        <w:t>（一）北部四个镇（黄村镇、西红门镇、瀛海镇及旧宫镇）集体联营公司通过引入竞争环节实现集体经营性建设用地入市的，按土地总价款的12%缴纳；南部九个镇集体联营公司通过引入竞争环节实现集体经营性建设用地入市的，按土地总价款的8%缴纳</w:t>
      </w:r>
      <w:r>
        <w:rPr>
          <w:rFonts w:hint="eastAsia" w:ascii="仿宋_GB2312" w:eastAsia="仿宋_GB2312"/>
          <w:color w:val="auto"/>
          <w:sz w:val="32"/>
          <w:szCs w:val="32"/>
          <w:u w:val="none"/>
          <w:shd w:val="clear" w:color="auto" w:fill="auto"/>
          <w:lang w:eastAsia="zh-CN"/>
        </w:rPr>
        <w:t>。</w:t>
      </w:r>
    </w:p>
    <w:p>
      <w:pPr>
        <w:keepNext w:val="0"/>
        <w:keepLines w:val="0"/>
        <w:pageBreakBefore w:val="0"/>
        <w:widowControl w:val="0"/>
        <w:kinsoku/>
        <w:wordWrap/>
        <w:overflowPunct/>
        <w:topLinePunct w:val="0"/>
        <w:autoSpaceDE/>
        <w:autoSpaceDN w:val="0"/>
        <w:bidi w:val="0"/>
        <w:adjustRightInd/>
        <w:snapToGrid/>
        <w:spacing w:beforeLines="0" w:line="560" w:lineRule="exact"/>
        <w:ind w:left="0" w:leftChars="0" w:right="0" w:rightChars="0" w:firstLine="645"/>
        <w:textAlignment w:val="auto"/>
        <w:outlineLvl w:val="9"/>
        <w:rPr>
          <w:rFonts w:hint="eastAsia" w:ascii="仿宋_GB2312" w:eastAsia="仿宋_GB2312"/>
          <w:color w:val="auto"/>
          <w:sz w:val="32"/>
          <w:szCs w:val="32"/>
          <w:u w:val="none"/>
          <w:shd w:val="clear" w:color="auto" w:fill="auto"/>
        </w:rPr>
      </w:pPr>
      <w:r>
        <w:rPr>
          <w:rFonts w:hint="eastAsia" w:ascii="仿宋_GB2312" w:eastAsia="仿宋_GB2312"/>
          <w:color w:val="auto"/>
          <w:sz w:val="32"/>
          <w:szCs w:val="32"/>
          <w:u w:val="none"/>
          <w:shd w:val="clear" w:color="auto" w:fill="auto"/>
        </w:rPr>
        <w:t>（二）北部四个镇集体联营公司通过协议出让、自主开发方式实现集体经营性建设用地入市的，按土地评估总价款的15%缴纳；南部九个镇集体联营公司通过协议出让、自主开发方式实现集体经营性建设用地入市的，按土地评估总价款的10%缴纳。</w:t>
      </w:r>
    </w:p>
    <w:p>
      <w:pPr>
        <w:keepNext w:val="0"/>
        <w:keepLines w:val="0"/>
        <w:pageBreakBefore w:val="0"/>
        <w:widowControl w:val="0"/>
        <w:kinsoku/>
        <w:wordWrap/>
        <w:overflowPunct/>
        <w:topLinePunct w:val="0"/>
        <w:autoSpaceDE/>
        <w:autoSpaceDN w:val="0"/>
        <w:bidi w:val="0"/>
        <w:adjustRightInd/>
        <w:snapToGrid/>
        <w:spacing w:beforeLines="0" w:line="560" w:lineRule="exact"/>
        <w:ind w:left="0" w:leftChars="0" w:right="0" w:rightChars="0" w:firstLine="645"/>
        <w:textAlignment w:val="auto"/>
        <w:outlineLvl w:val="9"/>
        <w:rPr>
          <w:rFonts w:hint="default" w:ascii="仿宋_GB2312" w:eastAsia="仿宋_GB2312"/>
          <w:color w:val="auto"/>
          <w:sz w:val="32"/>
          <w:szCs w:val="32"/>
          <w:highlight w:val="none"/>
          <w:u w:val="none"/>
          <w:shd w:val="clear" w:color="auto" w:fill="auto"/>
          <w:lang w:val="en-US" w:eastAsia="zh-CN"/>
        </w:rPr>
      </w:pPr>
      <w:r>
        <w:rPr>
          <w:rFonts w:hint="eastAsia" w:ascii="仿宋_GB2312" w:eastAsia="仿宋_GB2312"/>
          <w:color w:val="auto"/>
          <w:sz w:val="32"/>
          <w:szCs w:val="32"/>
          <w:highlight w:val="none"/>
          <w:u w:val="none"/>
          <w:shd w:val="clear" w:color="auto" w:fill="auto"/>
          <w:lang w:eastAsia="zh-CN"/>
        </w:rPr>
        <w:t>（三）</w:t>
      </w:r>
      <w:r>
        <w:rPr>
          <w:rFonts w:hint="eastAsia" w:ascii="仿宋_GB2312" w:eastAsia="仿宋_GB2312"/>
          <w:color w:val="auto"/>
          <w:sz w:val="32"/>
          <w:szCs w:val="32"/>
          <w:highlight w:val="none"/>
          <w:u w:val="none"/>
          <w:shd w:val="clear" w:color="auto" w:fill="auto"/>
        </w:rPr>
        <w:t>北部四个镇</w:t>
      </w:r>
      <w:r>
        <w:rPr>
          <w:rFonts w:hint="eastAsia" w:ascii="仿宋_GB2312" w:eastAsia="仿宋_GB2312"/>
          <w:color w:val="auto"/>
          <w:sz w:val="32"/>
          <w:szCs w:val="32"/>
          <w:highlight w:val="none"/>
          <w:u w:val="none"/>
          <w:shd w:val="clear" w:color="auto" w:fill="auto"/>
          <w:lang w:eastAsia="zh-CN"/>
        </w:rPr>
        <w:t>的公共公益项目</w:t>
      </w:r>
      <w:r>
        <w:rPr>
          <w:rFonts w:hint="eastAsia" w:ascii="仿宋_GB2312" w:eastAsia="仿宋_GB2312"/>
          <w:color w:val="auto"/>
          <w:sz w:val="32"/>
          <w:szCs w:val="32"/>
          <w:highlight w:val="none"/>
          <w:u w:val="none"/>
          <w:shd w:val="clear" w:color="auto" w:fill="auto"/>
        </w:rPr>
        <w:t>，按土地总价款的15%缴纳；南部九个镇</w:t>
      </w:r>
      <w:r>
        <w:rPr>
          <w:rFonts w:hint="eastAsia" w:ascii="仿宋_GB2312" w:eastAsia="仿宋_GB2312"/>
          <w:color w:val="auto"/>
          <w:sz w:val="32"/>
          <w:szCs w:val="32"/>
          <w:highlight w:val="none"/>
          <w:u w:val="none"/>
          <w:shd w:val="clear" w:color="auto" w:fill="auto"/>
          <w:lang w:eastAsia="zh-CN"/>
        </w:rPr>
        <w:t>的公共公益项目</w:t>
      </w:r>
      <w:r>
        <w:rPr>
          <w:rFonts w:hint="eastAsia" w:ascii="仿宋_GB2312" w:eastAsia="仿宋_GB2312"/>
          <w:color w:val="auto"/>
          <w:sz w:val="32"/>
          <w:szCs w:val="32"/>
          <w:highlight w:val="none"/>
          <w:u w:val="none"/>
          <w:shd w:val="clear" w:color="auto" w:fill="auto"/>
        </w:rPr>
        <w:t>，按土地总价款的10%缴纳</w:t>
      </w:r>
      <w:r>
        <w:rPr>
          <w:rFonts w:hint="eastAsia" w:ascii="仿宋_GB2312" w:eastAsia="仿宋_GB2312"/>
          <w:color w:val="auto"/>
          <w:sz w:val="32"/>
          <w:szCs w:val="32"/>
          <w:highlight w:val="none"/>
          <w:u w:val="none"/>
          <w:shd w:val="clear" w:color="auto" w:fill="auto"/>
          <w:lang w:eastAsia="zh-CN"/>
        </w:rPr>
        <w:t>。</w:t>
      </w:r>
    </w:p>
    <w:p>
      <w:pPr>
        <w:keepNext w:val="0"/>
        <w:keepLines w:val="0"/>
        <w:pageBreakBefore w:val="0"/>
        <w:widowControl w:val="0"/>
        <w:kinsoku/>
        <w:wordWrap/>
        <w:overflowPunct/>
        <w:topLinePunct w:val="0"/>
        <w:autoSpaceDE/>
        <w:autoSpaceDN w:val="0"/>
        <w:bidi w:val="0"/>
        <w:adjustRightInd/>
        <w:snapToGrid/>
        <w:spacing w:beforeLines="0" w:line="560" w:lineRule="exact"/>
        <w:ind w:left="0" w:leftChars="0" w:right="0" w:rightChars="0" w:firstLine="645"/>
        <w:textAlignment w:val="auto"/>
        <w:outlineLvl w:val="9"/>
        <w:rPr>
          <w:rFonts w:hint="eastAsia" w:ascii="仿宋_GB2312" w:eastAsia="仿宋_GB2312"/>
          <w:color w:val="auto"/>
          <w:sz w:val="32"/>
          <w:szCs w:val="32"/>
          <w:highlight w:val="none"/>
          <w:u w:val="none"/>
          <w:shd w:val="clear" w:color="auto" w:fill="auto"/>
        </w:rPr>
      </w:pPr>
      <w:r>
        <w:rPr>
          <w:rFonts w:hint="eastAsia" w:ascii="仿宋_GB2312" w:eastAsia="仿宋_GB2312"/>
          <w:color w:val="auto"/>
          <w:sz w:val="32"/>
          <w:szCs w:val="32"/>
          <w:u w:val="none"/>
          <w:shd w:val="clear" w:color="auto" w:fill="auto"/>
          <w:lang w:eastAsia="zh-CN"/>
        </w:rPr>
        <w:t>（四）</w:t>
      </w:r>
      <w:r>
        <w:rPr>
          <w:rFonts w:hint="eastAsia" w:ascii="仿宋_GB2312" w:eastAsia="仿宋_GB2312"/>
          <w:color w:val="auto"/>
          <w:sz w:val="32"/>
          <w:szCs w:val="32"/>
          <w:u w:val="none"/>
          <w:shd w:val="clear" w:color="auto" w:fill="auto"/>
        </w:rPr>
        <w:t>农村集体经营性建设用地入市后，用途为工业用地性质的项目，调节金暂按上述标准的40%比例收取。如收取金额无法满足</w:t>
      </w:r>
      <w:r>
        <w:rPr>
          <w:rFonts w:hint="eastAsia" w:ascii="仿宋_GB2312" w:hAnsi="仿宋" w:eastAsia="仿宋_GB2312"/>
          <w:color w:val="auto"/>
          <w:sz w:val="32"/>
          <w:szCs w:val="32"/>
          <w:u w:val="none"/>
          <w:shd w:val="clear" w:color="auto" w:fill="auto"/>
        </w:rPr>
        <w:t>《财政部</w:t>
      </w:r>
      <w:r>
        <w:rPr>
          <w:rFonts w:hint="eastAsia" w:ascii="仿宋_GB2312" w:eastAsia="仿宋_GB2312"/>
          <w:color w:val="auto"/>
          <w:sz w:val="32"/>
          <w:szCs w:val="32"/>
          <w:u w:val="none"/>
          <w:shd w:val="clear" w:color="auto" w:fill="auto"/>
        </w:rPr>
        <w:t xml:space="preserve"> </w:t>
      </w:r>
      <w:r>
        <w:rPr>
          <w:rFonts w:hint="eastAsia" w:ascii="仿宋_GB2312" w:hAnsi="仿宋" w:eastAsia="仿宋_GB2312"/>
          <w:color w:val="auto"/>
          <w:sz w:val="32"/>
          <w:szCs w:val="32"/>
          <w:u w:val="none"/>
          <w:shd w:val="clear" w:color="auto" w:fill="auto"/>
        </w:rPr>
        <w:t>国土资源部关于印发〈农村集体经营性建设用地土地增值收益调节金征收使用管理暂行办法〉的通知》（财税〔</w:t>
      </w:r>
      <w:r>
        <w:rPr>
          <w:rFonts w:hint="eastAsia" w:ascii="仿宋_GB2312" w:eastAsia="仿宋_GB2312"/>
          <w:color w:val="auto"/>
          <w:sz w:val="32"/>
          <w:szCs w:val="32"/>
          <w:u w:val="none"/>
          <w:shd w:val="clear" w:color="auto" w:fill="auto"/>
        </w:rPr>
        <w:t>2016</w:t>
      </w:r>
      <w:r>
        <w:rPr>
          <w:rFonts w:hint="eastAsia" w:ascii="仿宋_GB2312" w:hAnsi="仿宋" w:eastAsia="仿宋_GB2312"/>
          <w:color w:val="auto"/>
          <w:sz w:val="32"/>
          <w:szCs w:val="32"/>
          <w:u w:val="none"/>
          <w:shd w:val="clear" w:color="auto" w:fill="auto"/>
        </w:rPr>
        <w:t>〕</w:t>
      </w:r>
      <w:r>
        <w:rPr>
          <w:rFonts w:hint="eastAsia" w:ascii="仿宋_GB2312" w:eastAsia="仿宋_GB2312"/>
          <w:color w:val="auto"/>
          <w:sz w:val="32"/>
          <w:szCs w:val="32"/>
          <w:u w:val="none"/>
          <w:shd w:val="clear" w:color="auto" w:fill="auto"/>
        </w:rPr>
        <w:t>41</w:t>
      </w:r>
      <w:r>
        <w:rPr>
          <w:rFonts w:hint="eastAsia" w:ascii="仿宋_GB2312" w:hAnsi="仿宋" w:eastAsia="仿宋_GB2312"/>
          <w:color w:val="auto"/>
          <w:sz w:val="32"/>
          <w:szCs w:val="32"/>
          <w:u w:val="none"/>
          <w:shd w:val="clear" w:color="auto" w:fill="auto"/>
        </w:rPr>
        <w:t>号）</w:t>
      </w:r>
      <w:r>
        <w:rPr>
          <w:rFonts w:hint="eastAsia" w:ascii="仿宋_GB2312" w:eastAsia="仿宋_GB2312"/>
          <w:color w:val="auto"/>
          <w:sz w:val="32"/>
          <w:szCs w:val="32"/>
          <w:u w:val="none"/>
          <w:shd w:val="clear" w:color="auto" w:fill="auto"/>
        </w:rPr>
        <w:t>文件</w:t>
      </w:r>
      <w:r>
        <w:rPr>
          <w:rFonts w:hint="eastAsia" w:ascii="仿宋_GB2312" w:eastAsia="仿宋_GB2312"/>
          <w:color w:val="auto"/>
          <w:sz w:val="32"/>
          <w:szCs w:val="32"/>
          <w:highlight w:val="none"/>
          <w:u w:val="none"/>
          <w:shd w:val="clear" w:color="auto" w:fill="auto"/>
        </w:rPr>
        <w:t>规定比例，则参照上述文件规定</w:t>
      </w:r>
      <w:r>
        <w:rPr>
          <w:rFonts w:hint="eastAsia" w:ascii="仿宋_GB2312" w:eastAsia="仿宋_GB2312"/>
          <w:color w:val="auto"/>
          <w:sz w:val="32"/>
          <w:szCs w:val="32"/>
          <w:highlight w:val="none"/>
          <w:u w:val="none"/>
          <w:shd w:val="clear" w:color="auto" w:fill="auto"/>
          <w:lang w:eastAsia="zh-CN"/>
        </w:rPr>
        <w:t>最低</w:t>
      </w:r>
      <w:r>
        <w:rPr>
          <w:rFonts w:hint="eastAsia" w:ascii="仿宋_GB2312" w:eastAsia="仿宋_GB2312"/>
          <w:color w:val="auto"/>
          <w:sz w:val="32"/>
          <w:szCs w:val="32"/>
          <w:highlight w:val="none"/>
          <w:u w:val="none"/>
          <w:shd w:val="clear" w:color="auto" w:fill="auto"/>
        </w:rPr>
        <w:t>比例收取。</w:t>
      </w:r>
    </w:p>
    <w:p>
      <w:pPr>
        <w:keepNext w:val="0"/>
        <w:keepLines w:val="0"/>
        <w:pageBreakBefore w:val="0"/>
        <w:widowControl w:val="0"/>
        <w:kinsoku/>
        <w:wordWrap/>
        <w:overflowPunct/>
        <w:topLinePunct w:val="0"/>
        <w:autoSpaceDE/>
        <w:autoSpaceDN w:val="0"/>
        <w:bidi w:val="0"/>
        <w:adjustRightInd/>
        <w:snapToGrid/>
        <w:spacing w:beforeLines="0" w:line="560" w:lineRule="exact"/>
        <w:ind w:left="0" w:leftChars="0" w:right="0" w:rightChars="0" w:firstLine="645"/>
        <w:textAlignment w:val="auto"/>
        <w:outlineLvl w:val="9"/>
        <w:rPr>
          <w:rFonts w:hint="eastAsia" w:ascii="仿宋_GB2312" w:eastAsia="仿宋_GB2312"/>
          <w:color w:val="auto"/>
          <w:sz w:val="32"/>
          <w:szCs w:val="32"/>
          <w:u w:val="none"/>
          <w:shd w:val="clear" w:color="auto" w:fill="auto"/>
        </w:rPr>
      </w:pPr>
      <w:r>
        <w:rPr>
          <w:rFonts w:hint="eastAsia" w:ascii="黑体" w:hAnsi="楷体" w:eastAsia="黑体"/>
          <w:color w:val="auto"/>
          <w:sz w:val="32"/>
          <w:szCs w:val="32"/>
          <w:highlight w:val="none"/>
          <w:u w:val="none"/>
          <w:shd w:val="clear" w:color="auto" w:fill="auto"/>
          <w:lang w:eastAsia="zh-CN"/>
        </w:rPr>
        <w:t>第九条</w:t>
      </w:r>
      <w:r>
        <w:rPr>
          <w:rFonts w:hint="eastAsia" w:ascii="黑体" w:hAnsi="楷体" w:eastAsia="黑体"/>
          <w:color w:val="auto"/>
          <w:sz w:val="32"/>
          <w:szCs w:val="32"/>
          <w:highlight w:val="none"/>
          <w:u w:val="none"/>
          <w:shd w:val="clear" w:color="auto" w:fill="auto"/>
          <w:lang w:val="en-US" w:eastAsia="zh-CN"/>
        </w:rPr>
        <w:t xml:space="preserve">  </w:t>
      </w:r>
      <w:r>
        <w:rPr>
          <w:rFonts w:hint="eastAsia" w:ascii="仿宋_GB2312" w:eastAsia="仿宋_GB2312"/>
          <w:color w:val="auto"/>
          <w:sz w:val="32"/>
          <w:szCs w:val="32"/>
          <w:u w:val="none"/>
          <w:shd w:val="clear" w:color="auto" w:fill="auto"/>
        </w:rPr>
        <w:t>使用权作价出资（入股）的，等同使用权出让行为缴纳调节金，土地所有权人等同出让方，新成立或入股的企业等同受让方。调节金缴纳基数以土地使用权作价出资（入股）的总价值为准。</w:t>
      </w:r>
    </w:p>
    <w:p>
      <w:pPr>
        <w:keepNext w:val="0"/>
        <w:keepLines w:val="0"/>
        <w:pageBreakBefore w:val="0"/>
        <w:widowControl w:val="0"/>
        <w:kinsoku/>
        <w:wordWrap/>
        <w:overflowPunct/>
        <w:topLinePunct w:val="0"/>
        <w:autoSpaceDE/>
        <w:autoSpaceDN w:val="0"/>
        <w:bidi w:val="0"/>
        <w:adjustRightInd/>
        <w:snapToGrid/>
        <w:spacing w:beforeLines="0" w:line="560" w:lineRule="exact"/>
        <w:ind w:left="0" w:leftChars="0" w:right="0" w:rightChars="0" w:firstLine="645"/>
        <w:textAlignment w:val="auto"/>
        <w:outlineLvl w:val="9"/>
        <w:rPr>
          <w:rFonts w:hint="eastAsia" w:ascii="仿宋_GB2312" w:hAnsi="仿宋" w:eastAsia="仿宋_GB2312"/>
          <w:color w:val="auto"/>
          <w:sz w:val="32"/>
          <w:szCs w:val="32"/>
          <w:highlight w:val="none"/>
          <w:u w:val="none"/>
          <w:shd w:val="clear" w:color="auto" w:fill="auto"/>
        </w:rPr>
      </w:pPr>
      <w:r>
        <w:rPr>
          <w:rFonts w:hint="eastAsia" w:ascii="黑体" w:hAnsi="楷体" w:eastAsia="黑体"/>
          <w:color w:val="auto"/>
          <w:sz w:val="32"/>
          <w:szCs w:val="32"/>
          <w:highlight w:val="none"/>
          <w:u w:val="none"/>
          <w:shd w:val="clear" w:color="auto" w:fill="auto"/>
        </w:rPr>
        <w:t>第</w:t>
      </w:r>
      <w:r>
        <w:rPr>
          <w:rFonts w:hint="eastAsia" w:ascii="黑体" w:hAnsi="楷体" w:eastAsia="黑体"/>
          <w:color w:val="auto"/>
          <w:sz w:val="32"/>
          <w:szCs w:val="32"/>
          <w:highlight w:val="none"/>
          <w:u w:val="none"/>
          <w:shd w:val="clear" w:color="auto" w:fill="auto"/>
          <w:lang w:eastAsia="zh-CN"/>
        </w:rPr>
        <w:t>十</w:t>
      </w:r>
      <w:r>
        <w:rPr>
          <w:rFonts w:hint="eastAsia" w:ascii="黑体" w:hAnsi="楷体" w:eastAsia="黑体"/>
          <w:color w:val="auto"/>
          <w:sz w:val="32"/>
          <w:szCs w:val="32"/>
          <w:highlight w:val="none"/>
          <w:u w:val="none"/>
          <w:shd w:val="clear" w:color="auto" w:fill="auto"/>
        </w:rPr>
        <w:t>条</w:t>
      </w:r>
      <w:r>
        <w:rPr>
          <w:rFonts w:hint="eastAsia" w:ascii="仿宋_GB2312" w:eastAsia="仿宋_GB2312"/>
          <w:color w:val="auto"/>
          <w:sz w:val="32"/>
          <w:szCs w:val="32"/>
          <w:highlight w:val="none"/>
          <w:u w:val="none"/>
          <w:shd w:val="clear" w:color="auto" w:fill="auto"/>
        </w:rPr>
        <w:t xml:space="preserve">  </w:t>
      </w:r>
      <w:r>
        <w:rPr>
          <w:rFonts w:hint="eastAsia" w:ascii="仿宋_GB2312" w:hAnsi="仿宋" w:eastAsia="仿宋_GB2312"/>
          <w:color w:val="auto"/>
          <w:sz w:val="32"/>
          <w:szCs w:val="32"/>
          <w:highlight w:val="none"/>
          <w:u w:val="none"/>
          <w:shd w:val="clear" w:color="auto" w:fill="auto"/>
        </w:rPr>
        <w:t>依法取得的使用权进行</w:t>
      </w:r>
      <w:r>
        <w:rPr>
          <w:rFonts w:hint="eastAsia" w:ascii="仿宋_GB2312" w:hAnsi="仿宋" w:eastAsia="仿宋_GB2312"/>
          <w:color w:val="auto"/>
          <w:sz w:val="32"/>
          <w:szCs w:val="32"/>
          <w:highlight w:val="none"/>
          <w:u w:val="none"/>
          <w:shd w:val="clear" w:color="auto" w:fill="auto"/>
          <w:lang w:eastAsia="zh-CN"/>
        </w:rPr>
        <w:t>再</w:t>
      </w:r>
      <w:r>
        <w:rPr>
          <w:rFonts w:hint="eastAsia" w:ascii="仿宋_GB2312" w:hAnsi="仿宋" w:eastAsia="仿宋_GB2312"/>
          <w:color w:val="auto"/>
          <w:sz w:val="32"/>
          <w:szCs w:val="32"/>
          <w:highlight w:val="none"/>
          <w:u w:val="none"/>
          <w:shd w:val="clear" w:color="auto" w:fill="auto"/>
        </w:rPr>
        <w:t>转让的，</w:t>
      </w:r>
      <w:r>
        <w:rPr>
          <w:rFonts w:hint="eastAsia" w:ascii="仿宋_GB2312" w:hAnsi="仿宋" w:eastAsia="仿宋_GB2312"/>
          <w:color w:val="auto"/>
          <w:sz w:val="32"/>
          <w:szCs w:val="32"/>
          <w:highlight w:val="none"/>
          <w:u w:val="none"/>
          <w:shd w:val="clear" w:color="auto" w:fill="auto"/>
          <w:lang w:eastAsia="zh-CN"/>
        </w:rPr>
        <w:t>再</w:t>
      </w:r>
      <w:r>
        <w:rPr>
          <w:rFonts w:hint="eastAsia" w:ascii="仿宋_GB2312" w:hAnsi="仿宋" w:eastAsia="仿宋_GB2312"/>
          <w:color w:val="auto"/>
          <w:sz w:val="32"/>
          <w:szCs w:val="32"/>
          <w:highlight w:val="none"/>
          <w:u w:val="none"/>
          <w:shd w:val="clear" w:color="auto" w:fill="auto"/>
        </w:rPr>
        <w:t>转让方应当按照土地使用权（包括地上的建筑物及其附着物）</w:t>
      </w:r>
      <w:r>
        <w:rPr>
          <w:rFonts w:hint="eastAsia" w:ascii="仿宋_GB2312" w:hAnsi="仿宋" w:eastAsia="仿宋_GB2312"/>
          <w:color w:val="auto"/>
          <w:sz w:val="32"/>
          <w:szCs w:val="32"/>
          <w:highlight w:val="none"/>
          <w:u w:val="none"/>
          <w:shd w:val="clear" w:color="auto" w:fill="auto"/>
          <w:lang w:eastAsia="zh-CN"/>
        </w:rPr>
        <w:t>再</w:t>
      </w:r>
      <w:r>
        <w:rPr>
          <w:rFonts w:hint="eastAsia" w:ascii="仿宋_GB2312" w:hAnsi="仿宋" w:eastAsia="仿宋_GB2312"/>
          <w:color w:val="auto"/>
          <w:sz w:val="32"/>
          <w:szCs w:val="32"/>
          <w:highlight w:val="none"/>
          <w:u w:val="none"/>
          <w:shd w:val="clear" w:color="auto" w:fill="auto"/>
        </w:rPr>
        <w:t>转让增值收益的20%缴纳调节金。</w:t>
      </w:r>
    </w:p>
    <w:p>
      <w:pPr>
        <w:keepNext w:val="0"/>
        <w:keepLines w:val="0"/>
        <w:pageBreakBefore w:val="0"/>
        <w:widowControl w:val="0"/>
        <w:kinsoku/>
        <w:wordWrap/>
        <w:overflowPunct/>
        <w:topLinePunct w:val="0"/>
        <w:autoSpaceDE/>
        <w:autoSpaceDN w:val="0"/>
        <w:bidi w:val="0"/>
        <w:adjustRightInd/>
        <w:snapToGrid/>
        <w:spacing w:beforeLines="0" w:line="560" w:lineRule="exact"/>
        <w:ind w:left="0" w:leftChars="0" w:right="0" w:rightChars="0" w:firstLine="645"/>
        <w:textAlignment w:val="auto"/>
        <w:outlineLvl w:val="9"/>
        <w:rPr>
          <w:rFonts w:hint="eastAsia" w:ascii="仿宋_GB2312" w:hAnsi="仿宋" w:eastAsia="仿宋_GB2312"/>
          <w:color w:val="auto"/>
          <w:sz w:val="32"/>
          <w:szCs w:val="32"/>
          <w:highlight w:val="none"/>
          <w:u w:val="none"/>
          <w:shd w:val="clear" w:color="auto" w:fill="auto"/>
          <w:lang w:eastAsia="zh-CN"/>
        </w:rPr>
      </w:pPr>
      <w:r>
        <w:rPr>
          <w:rFonts w:hint="eastAsia" w:ascii="仿宋_GB2312" w:hAnsi="仿宋" w:eastAsia="仿宋_GB2312"/>
          <w:color w:val="auto"/>
          <w:sz w:val="32"/>
          <w:szCs w:val="32"/>
          <w:highlight w:val="none"/>
          <w:u w:val="none"/>
          <w:shd w:val="clear" w:color="auto" w:fill="auto"/>
          <w:lang w:eastAsia="zh-CN"/>
        </w:rPr>
        <w:t>土地使用权</w:t>
      </w:r>
      <w:r>
        <w:rPr>
          <w:rFonts w:hint="eastAsia" w:ascii="仿宋_GB2312" w:hAnsi="仿宋" w:eastAsia="仿宋_GB2312"/>
          <w:color w:val="auto"/>
          <w:sz w:val="32"/>
          <w:szCs w:val="32"/>
          <w:highlight w:val="none"/>
          <w:u w:val="none"/>
          <w:shd w:val="clear" w:color="auto" w:fill="auto"/>
        </w:rPr>
        <w:t>（包括地上的建筑物及其附着物）</w:t>
      </w:r>
      <w:r>
        <w:rPr>
          <w:rFonts w:hint="eastAsia" w:ascii="仿宋_GB2312" w:hAnsi="仿宋" w:eastAsia="仿宋_GB2312"/>
          <w:color w:val="auto"/>
          <w:sz w:val="32"/>
          <w:szCs w:val="32"/>
          <w:highlight w:val="none"/>
          <w:u w:val="none"/>
          <w:shd w:val="clear" w:color="auto" w:fill="auto"/>
          <w:lang w:eastAsia="zh-CN"/>
        </w:rPr>
        <w:t>再</w:t>
      </w:r>
      <w:r>
        <w:rPr>
          <w:rFonts w:hint="eastAsia" w:ascii="仿宋_GB2312" w:hAnsi="仿宋" w:eastAsia="仿宋_GB2312"/>
          <w:color w:val="auto"/>
          <w:sz w:val="32"/>
          <w:szCs w:val="32"/>
          <w:highlight w:val="none"/>
          <w:u w:val="none"/>
          <w:shd w:val="clear" w:color="auto" w:fill="auto"/>
        </w:rPr>
        <w:t>转让</w:t>
      </w:r>
      <w:r>
        <w:rPr>
          <w:rFonts w:hint="eastAsia" w:ascii="仿宋_GB2312" w:hAnsi="仿宋" w:eastAsia="仿宋_GB2312"/>
          <w:color w:val="auto"/>
          <w:sz w:val="32"/>
          <w:szCs w:val="32"/>
          <w:highlight w:val="none"/>
          <w:u w:val="none"/>
          <w:shd w:val="clear" w:color="auto" w:fill="auto"/>
          <w:lang w:eastAsia="zh-CN"/>
        </w:rPr>
        <w:t>的</w:t>
      </w:r>
      <w:r>
        <w:rPr>
          <w:rFonts w:hint="eastAsia" w:ascii="仿宋_GB2312" w:hAnsi="仿宋" w:eastAsia="仿宋_GB2312"/>
          <w:color w:val="auto"/>
          <w:sz w:val="32"/>
          <w:szCs w:val="32"/>
          <w:highlight w:val="none"/>
          <w:u w:val="none"/>
          <w:shd w:val="clear" w:color="auto" w:fill="auto"/>
        </w:rPr>
        <w:t>增值收益</w:t>
      </w:r>
      <w:r>
        <w:rPr>
          <w:rFonts w:hint="eastAsia" w:ascii="仿宋_GB2312" w:hAnsi="仿宋" w:eastAsia="仿宋_GB2312"/>
          <w:color w:val="auto"/>
          <w:sz w:val="32"/>
          <w:szCs w:val="32"/>
          <w:highlight w:val="none"/>
          <w:u w:val="none"/>
          <w:shd w:val="clear" w:color="auto" w:fill="auto"/>
          <w:lang w:eastAsia="zh-CN"/>
        </w:rPr>
        <w:t>，是指再转让环节的再转让收入扣除取得成本和土地开发支出后的收益。再转让收入</w:t>
      </w:r>
      <w:r>
        <w:rPr>
          <w:rFonts w:hint="eastAsia" w:ascii="仿宋_GB2312" w:hAnsi="仿宋" w:eastAsia="仿宋_GB2312"/>
          <w:color w:val="auto"/>
          <w:sz w:val="32"/>
          <w:szCs w:val="32"/>
          <w:highlight w:val="none"/>
          <w:u w:val="none"/>
          <w:shd w:val="clear" w:color="auto" w:fill="auto"/>
        </w:rPr>
        <w:t>以实际交易价格与评估价格从高确定。</w:t>
      </w:r>
    </w:p>
    <w:p>
      <w:pPr>
        <w:keepNext w:val="0"/>
        <w:keepLines w:val="0"/>
        <w:pageBreakBefore w:val="0"/>
        <w:widowControl w:val="0"/>
        <w:kinsoku/>
        <w:wordWrap/>
        <w:overflowPunct/>
        <w:topLinePunct w:val="0"/>
        <w:autoSpaceDE/>
        <w:autoSpaceDN w:val="0"/>
        <w:bidi w:val="0"/>
        <w:adjustRightInd/>
        <w:snapToGrid/>
        <w:spacing w:beforeLines="0" w:line="560" w:lineRule="exact"/>
        <w:ind w:left="0" w:leftChars="0" w:right="0" w:rightChars="0" w:firstLine="645"/>
        <w:textAlignment w:val="auto"/>
        <w:outlineLvl w:val="9"/>
        <w:rPr>
          <w:rFonts w:hint="eastAsia" w:ascii="仿宋_GB2312" w:hAnsi="仿宋" w:eastAsia="仿宋_GB2312"/>
          <w:color w:val="auto"/>
          <w:sz w:val="32"/>
          <w:szCs w:val="32"/>
          <w:highlight w:val="none"/>
          <w:u w:val="none"/>
          <w:shd w:val="clear" w:color="auto" w:fill="auto"/>
          <w:lang w:eastAsia="zh-CN"/>
        </w:rPr>
      </w:pPr>
      <w:r>
        <w:rPr>
          <w:rFonts w:hint="eastAsia" w:ascii="仿宋_GB2312" w:hAnsi="仿宋" w:eastAsia="仿宋_GB2312"/>
          <w:color w:val="auto"/>
          <w:sz w:val="32"/>
          <w:szCs w:val="32"/>
          <w:highlight w:val="none"/>
          <w:u w:val="none"/>
          <w:shd w:val="clear" w:color="auto" w:fill="auto"/>
          <w:lang w:eastAsia="zh-CN"/>
        </w:rPr>
        <w:t>土地开发支出包括土地开发成本、土地开发费用及税金。</w:t>
      </w:r>
    </w:p>
    <w:p>
      <w:pPr>
        <w:keepNext w:val="0"/>
        <w:keepLines w:val="0"/>
        <w:pageBreakBefore w:val="0"/>
        <w:widowControl w:val="0"/>
        <w:kinsoku/>
        <w:wordWrap/>
        <w:overflowPunct/>
        <w:topLinePunct w:val="0"/>
        <w:autoSpaceDE/>
        <w:autoSpaceDN w:val="0"/>
        <w:bidi w:val="0"/>
        <w:adjustRightInd/>
        <w:snapToGrid/>
        <w:spacing w:beforeLines="0" w:line="560" w:lineRule="exact"/>
        <w:ind w:left="0" w:leftChars="0" w:right="0" w:rightChars="0" w:firstLine="645"/>
        <w:textAlignment w:val="auto"/>
        <w:outlineLvl w:val="9"/>
        <w:rPr>
          <w:rFonts w:hint="eastAsia" w:ascii="仿宋_GB2312" w:hAnsi="仿宋" w:eastAsia="仿宋_GB2312"/>
          <w:color w:val="auto"/>
          <w:sz w:val="32"/>
          <w:szCs w:val="32"/>
          <w:highlight w:val="none"/>
          <w:u w:val="none"/>
          <w:shd w:val="clear" w:color="auto" w:fill="auto"/>
          <w:lang w:eastAsia="zh-CN"/>
        </w:rPr>
      </w:pPr>
      <w:r>
        <w:rPr>
          <w:rFonts w:hint="eastAsia" w:ascii="仿宋_GB2312" w:hAnsi="仿宋" w:eastAsia="仿宋_GB2312"/>
          <w:color w:val="auto"/>
          <w:sz w:val="32"/>
          <w:szCs w:val="32"/>
          <w:highlight w:val="none"/>
          <w:u w:val="none"/>
          <w:shd w:val="clear" w:color="auto" w:fill="auto"/>
          <w:lang w:eastAsia="zh-CN"/>
        </w:rPr>
        <w:t>土地开发成本是指前期工程费、建筑安装工程费、基础设施费、公共配套设施费、开发间接费用。</w:t>
      </w:r>
    </w:p>
    <w:p>
      <w:pPr>
        <w:keepNext w:val="0"/>
        <w:keepLines w:val="0"/>
        <w:pageBreakBefore w:val="0"/>
        <w:widowControl w:val="0"/>
        <w:kinsoku/>
        <w:wordWrap/>
        <w:overflowPunct/>
        <w:topLinePunct w:val="0"/>
        <w:autoSpaceDE/>
        <w:autoSpaceDN w:val="0"/>
        <w:bidi w:val="0"/>
        <w:adjustRightInd/>
        <w:snapToGrid/>
        <w:spacing w:beforeLines="0" w:line="560" w:lineRule="exact"/>
        <w:ind w:left="0" w:leftChars="0" w:right="0" w:rightChars="0" w:firstLine="645"/>
        <w:textAlignment w:val="auto"/>
        <w:outlineLvl w:val="9"/>
        <w:rPr>
          <w:rFonts w:hint="eastAsia" w:ascii="仿宋_GB2312" w:hAnsi="仿宋" w:eastAsia="仿宋_GB2312"/>
          <w:color w:val="auto"/>
          <w:sz w:val="32"/>
          <w:szCs w:val="32"/>
          <w:highlight w:val="none"/>
          <w:u w:val="none"/>
          <w:shd w:val="clear" w:color="auto" w:fill="auto"/>
          <w:lang w:eastAsia="zh-CN"/>
        </w:rPr>
      </w:pPr>
      <w:r>
        <w:rPr>
          <w:rFonts w:hint="eastAsia" w:ascii="仿宋_GB2312" w:hAnsi="仿宋" w:eastAsia="仿宋_GB2312"/>
          <w:color w:val="auto"/>
          <w:sz w:val="32"/>
          <w:szCs w:val="32"/>
          <w:highlight w:val="none"/>
          <w:u w:val="none"/>
          <w:shd w:val="clear" w:color="auto" w:fill="auto"/>
          <w:lang w:eastAsia="zh-CN"/>
        </w:rPr>
        <w:t>土地开发费用是指房地产开发项目按土地取得成本和土地开发成本之和</w:t>
      </w:r>
      <w:r>
        <w:rPr>
          <w:rFonts w:hint="eastAsia" w:ascii="仿宋_GB2312" w:hAnsi="仿宋" w:eastAsia="仿宋_GB2312"/>
          <w:color w:val="auto"/>
          <w:sz w:val="32"/>
          <w:szCs w:val="32"/>
          <w:highlight w:val="none"/>
          <w:u w:val="none"/>
          <w:shd w:val="clear" w:color="auto" w:fill="auto"/>
          <w:lang w:val="en-US" w:eastAsia="zh-CN"/>
        </w:rPr>
        <w:t>加计30%扣除的费用，不再单独予以扣除财务费用、销售费用、管理费用等。</w:t>
      </w:r>
    </w:p>
    <w:p>
      <w:pPr>
        <w:keepNext w:val="0"/>
        <w:keepLines w:val="0"/>
        <w:pageBreakBefore w:val="0"/>
        <w:widowControl w:val="0"/>
        <w:kinsoku/>
        <w:wordWrap/>
        <w:overflowPunct/>
        <w:topLinePunct w:val="0"/>
        <w:autoSpaceDE/>
        <w:autoSpaceDN w:val="0"/>
        <w:bidi w:val="0"/>
        <w:adjustRightInd/>
        <w:snapToGrid/>
        <w:spacing w:beforeLines="0" w:line="560" w:lineRule="exact"/>
        <w:ind w:left="0" w:leftChars="0" w:right="0" w:rightChars="0" w:firstLine="645"/>
        <w:textAlignment w:val="auto"/>
        <w:outlineLvl w:val="9"/>
        <w:rPr>
          <w:rFonts w:hint="eastAsia" w:ascii="仿宋_GB2312" w:hAnsi="仿宋" w:eastAsia="仿宋_GB2312"/>
          <w:color w:val="auto"/>
          <w:sz w:val="32"/>
          <w:szCs w:val="32"/>
          <w:highlight w:val="none"/>
          <w:u w:val="none"/>
          <w:shd w:val="clear" w:color="auto" w:fill="auto"/>
          <w:lang w:eastAsia="zh-CN"/>
        </w:rPr>
      </w:pPr>
      <w:r>
        <w:rPr>
          <w:rFonts w:hint="eastAsia" w:ascii="仿宋_GB2312" w:hAnsi="仿宋" w:eastAsia="仿宋_GB2312"/>
          <w:color w:val="auto"/>
          <w:sz w:val="32"/>
          <w:szCs w:val="32"/>
          <w:highlight w:val="none"/>
          <w:u w:val="none"/>
          <w:shd w:val="clear" w:color="auto" w:fill="auto"/>
          <w:lang w:eastAsia="zh-CN"/>
        </w:rPr>
        <w:t>税金是指与再转让环节有关的城市维护建设税、教育费附加、地方教育费附加。</w:t>
      </w:r>
    </w:p>
    <w:p>
      <w:pPr>
        <w:keepNext w:val="0"/>
        <w:keepLines w:val="0"/>
        <w:pageBreakBefore w:val="0"/>
        <w:widowControl w:val="0"/>
        <w:kinsoku/>
        <w:wordWrap/>
        <w:overflowPunct/>
        <w:topLinePunct w:val="0"/>
        <w:autoSpaceDE/>
        <w:autoSpaceDN w:val="0"/>
        <w:bidi w:val="0"/>
        <w:adjustRightInd/>
        <w:snapToGrid/>
        <w:spacing w:beforeLines="0" w:line="560" w:lineRule="exact"/>
        <w:ind w:left="0" w:leftChars="0" w:right="0" w:rightChars="0" w:firstLine="645"/>
        <w:textAlignment w:val="auto"/>
        <w:outlineLvl w:val="9"/>
        <w:rPr>
          <w:rFonts w:hint="eastAsia" w:ascii="仿宋_GB2312" w:eastAsia="仿宋_GB2312"/>
          <w:color w:val="auto"/>
          <w:sz w:val="32"/>
          <w:szCs w:val="32"/>
          <w:u w:val="none"/>
          <w:shd w:val="clear" w:color="auto" w:fill="auto"/>
        </w:rPr>
      </w:pPr>
      <w:r>
        <w:rPr>
          <w:rFonts w:hint="eastAsia" w:ascii="黑体" w:hAnsi="楷体" w:eastAsia="黑体"/>
          <w:color w:val="auto"/>
          <w:sz w:val="32"/>
          <w:szCs w:val="32"/>
          <w:u w:val="none"/>
          <w:shd w:val="clear" w:color="auto" w:fill="auto"/>
        </w:rPr>
        <w:t>第</w:t>
      </w:r>
      <w:r>
        <w:rPr>
          <w:rFonts w:hint="eastAsia" w:ascii="黑体" w:hAnsi="楷体" w:eastAsia="黑体"/>
          <w:color w:val="auto"/>
          <w:sz w:val="32"/>
          <w:szCs w:val="32"/>
          <w:u w:val="none"/>
          <w:shd w:val="clear" w:color="auto" w:fill="auto"/>
          <w:lang w:eastAsia="zh-CN"/>
        </w:rPr>
        <w:t>十一</w:t>
      </w:r>
      <w:r>
        <w:rPr>
          <w:rFonts w:hint="eastAsia" w:ascii="黑体" w:hAnsi="楷体" w:eastAsia="黑体"/>
          <w:color w:val="auto"/>
          <w:sz w:val="32"/>
          <w:szCs w:val="32"/>
          <w:u w:val="none"/>
          <w:shd w:val="clear" w:color="auto" w:fill="auto"/>
        </w:rPr>
        <w:t>条</w:t>
      </w:r>
      <w:r>
        <w:rPr>
          <w:rFonts w:hint="eastAsia" w:ascii="仿宋_GB2312" w:eastAsia="仿宋_GB2312"/>
          <w:color w:val="auto"/>
          <w:sz w:val="32"/>
          <w:szCs w:val="32"/>
          <w:u w:val="none"/>
          <w:shd w:val="clear" w:color="auto" w:fill="auto"/>
        </w:rPr>
        <w:t xml:space="preserve">  以出售、交换、赠与、出租、作价出资（入股）等方式再转让集体经营性建设用地使用权的，再转让收入按以下方式确定：</w:t>
      </w:r>
    </w:p>
    <w:p>
      <w:pPr>
        <w:keepNext w:val="0"/>
        <w:keepLines w:val="0"/>
        <w:pageBreakBefore w:val="0"/>
        <w:widowControl w:val="0"/>
        <w:kinsoku/>
        <w:wordWrap/>
        <w:overflowPunct/>
        <w:topLinePunct w:val="0"/>
        <w:autoSpaceDE/>
        <w:autoSpaceDN w:val="0"/>
        <w:bidi w:val="0"/>
        <w:adjustRightInd/>
        <w:snapToGrid/>
        <w:spacing w:beforeLines="0" w:line="560" w:lineRule="exact"/>
        <w:ind w:left="0" w:leftChars="0" w:right="0" w:rightChars="0" w:firstLine="645"/>
        <w:textAlignment w:val="auto"/>
        <w:outlineLvl w:val="9"/>
        <w:rPr>
          <w:rFonts w:hint="eastAsia" w:ascii="仿宋_GB2312" w:eastAsia="仿宋_GB2312"/>
          <w:color w:val="auto"/>
          <w:sz w:val="32"/>
          <w:szCs w:val="32"/>
          <w:u w:val="none"/>
          <w:shd w:val="clear" w:color="auto" w:fill="auto"/>
        </w:rPr>
      </w:pPr>
      <w:r>
        <w:rPr>
          <w:rFonts w:hint="eastAsia" w:ascii="仿宋_GB2312" w:eastAsia="仿宋_GB2312"/>
          <w:color w:val="auto"/>
          <w:sz w:val="32"/>
          <w:szCs w:val="32"/>
          <w:u w:val="none"/>
          <w:shd w:val="clear" w:color="auto" w:fill="auto"/>
        </w:rPr>
        <w:t>（一）以出售方式再转让的，再转让收入以</w:t>
      </w:r>
      <w:r>
        <w:rPr>
          <w:rFonts w:hint="eastAsia" w:ascii="仿宋_GB2312" w:eastAsia="仿宋_GB2312"/>
          <w:color w:val="auto"/>
          <w:sz w:val="32"/>
          <w:szCs w:val="32"/>
          <w:u w:val="none"/>
          <w:shd w:val="clear" w:color="auto" w:fill="auto"/>
          <w:lang w:eastAsia="zh-CN"/>
        </w:rPr>
        <w:t>销售价款</w:t>
      </w:r>
      <w:r>
        <w:rPr>
          <w:rFonts w:hint="eastAsia" w:ascii="仿宋_GB2312" w:eastAsia="仿宋_GB2312"/>
          <w:color w:val="auto"/>
          <w:sz w:val="32"/>
          <w:szCs w:val="32"/>
          <w:u w:val="none"/>
          <w:shd w:val="clear" w:color="auto" w:fill="auto"/>
        </w:rPr>
        <w:t>与评估价格从高确定。</w:t>
      </w:r>
    </w:p>
    <w:p>
      <w:pPr>
        <w:keepNext w:val="0"/>
        <w:keepLines w:val="0"/>
        <w:pageBreakBefore w:val="0"/>
        <w:widowControl w:val="0"/>
        <w:kinsoku/>
        <w:wordWrap/>
        <w:overflowPunct/>
        <w:topLinePunct w:val="0"/>
        <w:autoSpaceDE/>
        <w:autoSpaceDN w:val="0"/>
        <w:bidi w:val="0"/>
        <w:adjustRightInd/>
        <w:snapToGrid/>
        <w:spacing w:beforeLines="0" w:line="560" w:lineRule="exact"/>
        <w:ind w:left="0" w:leftChars="0" w:right="0" w:rightChars="0" w:firstLine="645"/>
        <w:textAlignment w:val="auto"/>
        <w:outlineLvl w:val="9"/>
        <w:rPr>
          <w:rFonts w:hint="eastAsia" w:ascii="仿宋_GB2312" w:eastAsia="仿宋_GB2312"/>
          <w:color w:val="auto"/>
          <w:sz w:val="32"/>
          <w:szCs w:val="32"/>
          <w:u w:val="none"/>
          <w:shd w:val="clear" w:color="auto" w:fill="auto"/>
        </w:rPr>
      </w:pPr>
      <w:r>
        <w:rPr>
          <w:rFonts w:hint="eastAsia" w:ascii="仿宋_GB2312" w:eastAsia="仿宋_GB2312"/>
          <w:color w:val="auto"/>
          <w:sz w:val="32"/>
          <w:szCs w:val="32"/>
          <w:u w:val="none"/>
          <w:shd w:val="clear" w:color="auto" w:fill="auto"/>
        </w:rPr>
        <w:t>（二）以交换方式再转让并存在差价补偿的，被转让土地与交换土地或房产的评估价差额与合同约定差价补偿款中较大者为再转让收入。</w:t>
      </w:r>
    </w:p>
    <w:p>
      <w:pPr>
        <w:keepNext w:val="0"/>
        <w:keepLines w:val="0"/>
        <w:pageBreakBefore w:val="0"/>
        <w:widowControl w:val="0"/>
        <w:kinsoku/>
        <w:wordWrap/>
        <w:overflowPunct/>
        <w:topLinePunct w:val="0"/>
        <w:autoSpaceDE/>
        <w:autoSpaceDN w:val="0"/>
        <w:bidi w:val="0"/>
        <w:adjustRightInd/>
        <w:snapToGrid/>
        <w:spacing w:beforeLines="0" w:line="560" w:lineRule="exact"/>
        <w:ind w:left="0" w:leftChars="0" w:right="0" w:rightChars="0" w:firstLine="645"/>
        <w:textAlignment w:val="auto"/>
        <w:outlineLvl w:val="9"/>
        <w:rPr>
          <w:rFonts w:hint="eastAsia" w:ascii="仿宋_GB2312" w:eastAsia="仿宋_GB2312"/>
          <w:color w:val="auto"/>
          <w:sz w:val="32"/>
          <w:szCs w:val="32"/>
          <w:u w:val="none"/>
          <w:shd w:val="clear" w:color="auto" w:fill="auto"/>
        </w:rPr>
      </w:pPr>
      <w:r>
        <w:rPr>
          <w:rFonts w:hint="eastAsia" w:ascii="仿宋_GB2312" w:eastAsia="仿宋_GB2312"/>
          <w:color w:val="auto"/>
          <w:sz w:val="32"/>
          <w:szCs w:val="32"/>
          <w:u w:val="none"/>
          <w:shd w:val="clear" w:color="auto" w:fill="auto"/>
        </w:rPr>
        <w:t>其中，以除土地或房产以外的实物等非货币形式补偿差价的，其评估价值为相应差价补偿款。</w:t>
      </w:r>
    </w:p>
    <w:p>
      <w:pPr>
        <w:keepNext w:val="0"/>
        <w:keepLines w:val="0"/>
        <w:pageBreakBefore w:val="0"/>
        <w:widowControl w:val="0"/>
        <w:kinsoku/>
        <w:wordWrap/>
        <w:overflowPunct/>
        <w:topLinePunct w:val="0"/>
        <w:autoSpaceDE/>
        <w:autoSpaceDN w:val="0"/>
        <w:bidi w:val="0"/>
        <w:adjustRightInd/>
        <w:snapToGrid/>
        <w:spacing w:beforeLines="0" w:line="560" w:lineRule="exact"/>
        <w:ind w:left="0" w:leftChars="0" w:right="0" w:rightChars="0" w:firstLine="645"/>
        <w:textAlignment w:val="auto"/>
        <w:outlineLvl w:val="9"/>
        <w:rPr>
          <w:rFonts w:hint="eastAsia" w:ascii="仿宋_GB2312" w:eastAsia="仿宋_GB2312"/>
          <w:color w:val="auto"/>
          <w:sz w:val="32"/>
          <w:szCs w:val="32"/>
          <w:u w:val="none"/>
          <w:shd w:val="clear" w:color="auto" w:fill="auto"/>
        </w:rPr>
      </w:pPr>
      <w:r>
        <w:rPr>
          <w:rFonts w:hint="eastAsia" w:ascii="仿宋_GB2312" w:eastAsia="仿宋_GB2312"/>
          <w:color w:val="auto"/>
          <w:sz w:val="32"/>
          <w:szCs w:val="32"/>
          <w:u w:val="none"/>
          <w:shd w:val="clear" w:color="auto" w:fill="auto"/>
        </w:rPr>
        <w:t>（三）以出租或作价出资（入股）方式再转让的，总租金、成交总价款为再转让收入。</w:t>
      </w:r>
    </w:p>
    <w:p>
      <w:pPr>
        <w:keepNext w:val="0"/>
        <w:keepLines w:val="0"/>
        <w:pageBreakBefore w:val="0"/>
        <w:widowControl w:val="0"/>
        <w:kinsoku/>
        <w:wordWrap/>
        <w:overflowPunct/>
        <w:topLinePunct w:val="0"/>
        <w:autoSpaceDE/>
        <w:autoSpaceDN w:val="0"/>
        <w:bidi w:val="0"/>
        <w:adjustRightInd/>
        <w:snapToGrid/>
        <w:spacing w:beforeLines="0" w:line="560" w:lineRule="exact"/>
        <w:ind w:left="0" w:leftChars="0" w:right="0" w:rightChars="0" w:firstLine="645"/>
        <w:textAlignment w:val="auto"/>
        <w:outlineLvl w:val="9"/>
        <w:rPr>
          <w:rFonts w:hint="eastAsia" w:ascii="仿宋_GB2312" w:eastAsia="仿宋_GB2312"/>
          <w:color w:val="auto"/>
          <w:sz w:val="32"/>
          <w:szCs w:val="32"/>
          <w:u w:val="none"/>
          <w:shd w:val="clear" w:color="auto" w:fill="auto"/>
        </w:rPr>
      </w:pPr>
      <w:r>
        <w:rPr>
          <w:rFonts w:hint="eastAsia" w:ascii="仿宋_GB2312" w:eastAsia="仿宋_GB2312"/>
          <w:color w:val="auto"/>
          <w:sz w:val="32"/>
          <w:szCs w:val="32"/>
          <w:u w:val="none"/>
          <w:shd w:val="clear" w:color="auto" w:fill="auto"/>
        </w:rPr>
        <w:t>（四）以抵债、司法裁定等视同转让方式再转让的，评估价或合同协议价中较高者为再转让收入。</w:t>
      </w:r>
    </w:p>
    <w:p>
      <w:pPr>
        <w:keepNext w:val="0"/>
        <w:keepLines w:val="0"/>
        <w:pageBreakBefore w:val="0"/>
        <w:widowControl w:val="0"/>
        <w:kinsoku/>
        <w:wordWrap/>
        <w:overflowPunct/>
        <w:topLinePunct w:val="0"/>
        <w:autoSpaceDE/>
        <w:autoSpaceDN w:val="0"/>
        <w:bidi w:val="0"/>
        <w:adjustRightInd/>
        <w:snapToGrid/>
        <w:spacing w:beforeLines="0" w:line="560" w:lineRule="exact"/>
        <w:ind w:left="0" w:leftChars="0" w:right="0" w:rightChars="0" w:firstLine="645"/>
        <w:textAlignment w:val="auto"/>
        <w:outlineLvl w:val="9"/>
        <w:rPr>
          <w:rFonts w:hint="eastAsia" w:ascii="仿宋_GB2312" w:eastAsia="仿宋_GB2312"/>
          <w:color w:val="auto"/>
          <w:sz w:val="32"/>
          <w:szCs w:val="32"/>
          <w:u w:val="none"/>
          <w:shd w:val="clear" w:color="auto" w:fill="auto"/>
        </w:rPr>
      </w:pPr>
      <w:r>
        <w:rPr>
          <w:rFonts w:hint="eastAsia" w:ascii="仿宋_GB2312" w:eastAsia="仿宋_GB2312"/>
          <w:color w:val="auto"/>
          <w:sz w:val="32"/>
          <w:szCs w:val="32"/>
          <w:u w:val="none"/>
          <w:shd w:val="clear" w:color="auto" w:fill="auto"/>
        </w:rPr>
        <w:t>（五）对无偿赠与直系亲属或承担直接赡养义务人，以及通过境内非营利社会团体、国家机关赠与国内教育、民政等公益福利事业的，暂不征收调节金。其他赠与行为以评估价为再转让收入。</w:t>
      </w:r>
    </w:p>
    <w:p>
      <w:pPr>
        <w:keepNext w:val="0"/>
        <w:keepLines w:val="0"/>
        <w:pageBreakBefore w:val="0"/>
        <w:widowControl w:val="0"/>
        <w:kinsoku/>
        <w:wordWrap/>
        <w:overflowPunct/>
        <w:topLinePunct w:val="0"/>
        <w:autoSpaceDE/>
        <w:bidi w:val="0"/>
        <w:adjustRightInd/>
        <w:snapToGrid/>
        <w:spacing w:beforeLines="0" w:line="560" w:lineRule="exact"/>
        <w:ind w:right="0" w:rightChars="0"/>
        <w:jc w:val="center"/>
        <w:textAlignment w:val="auto"/>
        <w:outlineLvl w:val="9"/>
        <w:rPr>
          <w:rFonts w:hint="eastAsia" w:ascii="黑体" w:hAnsi="楷体" w:eastAsia="黑体"/>
          <w:color w:val="auto"/>
          <w:sz w:val="32"/>
          <w:szCs w:val="32"/>
          <w:u w:val="none"/>
          <w:shd w:val="clear" w:color="auto" w:fill="auto"/>
        </w:rPr>
      </w:pPr>
      <w:r>
        <w:rPr>
          <w:rFonts w:hint="eastAsia" w:ascii="黑体" w:hAnsi="楷体" w:eastAsia="黑体"/>
          <w:color w:val="auto"/>
          <w:sz w:val="32"/>
          <w:szCs w:val="32"/>
          <w:u w:val="none"/>
          <w:shd w:val="clear" w:color="auto" w:fill="auto"/>
          <w:lang w:eastAsia="zh-CN"/>
        </w:rPr>
        <w:t>第四章</w:t>
      </w:r>
      <w:r>
        <w:rPr>
          <w:rFonts w:hint="eastAsia" w:ascii="黑体" w:hAnsi="楷体" w:eastAsia="黑体"/>
          <w:color w:val="auto"/>
          <w:sz w:val="32"/>
          <w:szCs w:val="32"/>
          <w:u w:val="none"/>
          <w:shd w:val="clear" w:color="auto" w:fill="auto"/>
          <w:lang w:val="en-US" w:eastAsia="zh-CN"/>
        </w:rPr>
        <w:t xml:space="preserve"> 征收与使用管理</w:t>
      </w:r>
    </w:p>
    <w:p>
      <w:pPr>
        <w:keepNext w:val="0"/>
        <w:keepLines w:val="0"/>
        <w:pageBreakBefore w:val="0"/>
        <w:widowControl w:val="0"/>
        <w:kinsoku/>
        <w:wordWrap/>
        <w:overflowPunct/>
        <w:topLinePunct w:val="0"/>
        <w:autoSpaceDE/>
        <w:bidi w:val="0"/>
        <w:adjustRightInd/>
        <w:snapToGrid/>
        <w:spacing w:beforeLines="0" w:line="560" w:lineRule="exact"/>
        <w:ind w:left="0" w:leftChars="0" w:right="0" w:rightChars="0" w:firstLine="645"/>
        <w:textAlignment w:val="auto"/>
        <w:outlineLvl w:val="9"/>
        <w:rPr>
          <w:rFonts w:hint="eastAsia" w:ascii="黑体" w:hAnsi="楷体" w:eastAsia="黑体"/>
          <w:color w:val="auto"/>
          <w:sz w:val="32"/>
          <w:szCs w:val="32"/>
          <w:u w:val="none"/>
          <w:shd w:val="clear" w:color="auto" w:fill="auto"/>
          <w:lang w:eastAsia="zh-CN"/>
        </w:rPr>
      </w:pPr>
      <w:r>
        <w:rPr>
          <w:rFonts w:hint="eastAsia" w:ascii="黑体" w:hAnsi="楷体" w:eastAsia="黑体"/>
          <w:color w:val="auto"/>
          <w:sz w:val="32"/>
          <w:szCs w:val="32"/>
          <w:u w:val="none"/>
          <w:shd w:val="clear" w:color="auto" w:fill="auto"/>
        </w:rPr>
        <w:t>第</w:t>
      </w:r>
      <w:r>
        <w:rPr>
          <w:rFonts w:hint="eastAsia" w:ascii="黑体" w:hAnsi="楷体" w:eastAsia="黑体"/>
          <w:color w:val="auto"/>
          <w:sz w:val="32"/>
          <w:szCs w:val="32"/>
          <w:u w:val="none"/>
          <w:shd w:val="clear" w:color="auto" w:fill="auto"/>
          <w:lang w:eastAsia="zh-CN"/>
        </w:rPr>
        <w:t>十二</w:t>
      </w:r>
      <w:r>
        <w:rPr>
          <w:rFonts w:hint="eastAsia" w:ascii="黑体" w:hAnsi="楷体" w:eastAsia="黑体"/>
          <w:color w:val="auto"/>
          <w:sz w:val="32"/>
          <w:szCs w:val="32"/>
          <w:u w:val="none"/>
          <w:shd w:val="clear" w:color="auto" w:fill="auto"/>
        </w:rPr>
        <w:t>条</w:t>
      </w:r>
      <w:r>
        <w:rPr>
          <w:rFonts w:hint="eastAsia" w:ascii="仿宋_GB2312" w:hAnsi="楷体" w:eastAsia="仿宋_GB2312"/>
          <w:color w:val="auto"/>
          <w:sz w:val="32"/>
          <w:szCs w:val="32"/>
          <w:u w:val="none"/>
          <w:shd w:val="clear" w:color="auto" w:fill="auto"/>
        </w:rPr>
        <w:t xml:space="preserve"> </w:t>
      </w:r>
      <w:r>
        <w:rPr>
          <w:rFonts w:hint="eastAsia" w:ascii="仿宋_GB2312" w:hAnsi="楷体" w:eastAsia="仿宋_GB2312"/>
          <w:color w:val="auto"/>
          <w:sz w:val="32"/>
          <w:szCs w:val="32"/>
          <w:highlight w:val="none"/>
          <w:u w:val="none"/>
          <w:shd w:val="clear" w:color="auto" w:fill="auto"/>
        </w:rPr>
        <w:t xml:space="preserve"> </w:t>
      </w:r>
      <w:r>
        <w:rPr>
          <w:rFonts w:hint="eastAsia" w:ascii="仿宋_GB2312" w:eastAsia="仿宋_GB2312"/>
          <w:color w:val="auto"/>
          <w:sz w:val="32"/>
          <w:szCs w:val="32"/>
          <w:highlight w:val="none"/>
          <w:u w:val="none"/>
          <w:shd w:val="clear" w:color="auto" w:fill="auto"/>
        </w:rPr>
        <w:t>调节金由区财政局会同区</w:t>
      </w:r>
      <w:r>
        <w:rPr>
          <w:rFonts w:hint="eastAsia" w:ascii="仿宋_GB2312" w:eastAsia="仿宋_GB2312"/>
          <w:color w:val="auto"/>
          <w:sz w:val="32"/>
          <w:szCs w:val="32"/>
          <w:highlight w:val="none"/>
          <w:u w:val="none"/>
          <w:shd w:val="clear" w:color="auto" w:fill="auto"/>
          <w:lang w:eastAsia="zh-CN"/>
        </w:rPr>
        <w:t>规自分局</w:t>
      </w:r>
      <w:r>
        <w:rPr>
          <w:rFonts w:hint="eastAsia" w:ascii="仿宋_GB2312" w:eastAsia="仿宋_GB2312"/>
          <w:color w:val="auto"/>
          <w:sz w:val="32"/>
          <w:szCs w:val="32"/>
          <w:highlight w:val="none"/>
          <w:u w:val="none"/>
          <w:shd w:val="clear" w:color="auto" w:fill="auto"/>
        </w:rPr>
        <w:t>组织征收。</w:t>
      </w:r>
    </w:p>
    <w:p>
      <w:pPr>
        <w:keepNext w:val="0"/>
        <w:keepLines w:val="0"/>
        <w:pageBreakBefore w:val="0"/>
        <w:widowControl w:val="0"/>
        <w:kinsoku/>
        <w:wordWrap/>
        <w:overflowPunct/>
        <w:topLinePunct w:val="0"/>
        <w:autoSpaceDE/>
        <w:autoSpaceDN w:val="0"/>
        <w:bidi w:val="0"/>
        <w:adjustRightInd/>
        <w:snapToGrid/>
        <w:spacing w:beforeLines="0" w:line="560" w:lineRule="exact"/>
        <w:ind w:left="0" w:leftChars="0" w:right="0" w:rightChars="0" w:firstLine="645"/>
        <w:textAlignment w:val="auto"/>
        <w:outlineLvl w:val="9"/>
        <w:rPr>
          <w:rFonts w:hint="eastAsia" w:ascii="仿宋_GB2312" w:eastAsia="仿宋_GB2312"/>
          <w:color w:val="auto"/>
          <w:sz w:val="32"/>
          <w:szCs w:val="32"/>
          <w:highlight w:val="none"/>
          <w:u w:val="none"/>
          <w:shd w:val="clear" w:color="auto" w:fill="auto"/>
        </w:rPr>
      </w:pPr>
      <w:r>
        <w:rPr>
          <w:rFonts w:hint="eastAsia" w:ascii="黑体" w:hAnsi="楷体" w:eastAsia="黑体"/>
          <w:color w:val="auto"/>
          <w:sz w:val="32"/>
          <w:szCs w:val="32"/>
          <w:u w:val="none"/>
          <w:shd w:val="clear" w:color="auto" w:fill="auto"/>
          <w:lang w:eastAsia="zh-CN"/>
        </w:rPr>
        <w:t>第十三条</w:t>
      </w:r>
      <w:r>
        <w:rPr>
          <w:rFonts w:hint="eastAsia" w:ascii="仿宋_GB2312" w:hAnsi="Courier New" w:eastAsia="仿宋_GB2312" w:cs="Courier New"/>
          <w:color w:val="auto"/>
          <w:sz w:val="32"/>
          <w:szCs w:val="32"/>
          <w:highlight w:val="none"/>
          <w:u w:val="none"/>
          <w:shd w:val="clear" w:color="auto" w:fill="auto"/>
          <w:lang w:val="en-US" w:eastAsia="zh-CN"/>
        </w:rPr>
        <w:t xml:space="preserve">  </w:t>
      </w:r>
      <w:r>
        <w:rPr>
          <w:rFonts w:hint="eastAsia" w:ascii="仿宋_GB2312" w:hAnsi="Courier New" w:eastAsia="仿宋_GB2312" w:cs="Courier New"/>
          <w:color w:val="auto"/>
          <w:sz w:val="32"/>
          <w:szCs w:val="32"/>
          <w:highlight w:val="none"/>
          <w:u w:val="none"/>
          <w:shd w:val="clear" w:color="auto" w:fill="auto"/>
        </w:rPr>
        <w:t>调节金全额上缴地方国库，具体缴库办法按照非税收入收缴管理有关规定执行，暂填列政府预算收入分类科目“1030717</w:t>
      </w:r>
      <w:r>
        <w:rPr>
          <w:rFonts w:hint="eastAsia" w:ascii="仿宋_GB2312" w:hAnsi="Courier New" w:eastAsia="仿宋_GB2312" w:cs="Courier New"/>
          <w:color w:val="auto"/>
          <w:sz w:val="32"/>
          <w:szCs w:val="32"/>
          <w:highlight w:val="none"/>
          <w:u w:val="none"/>
          <w:shd w:val="clear" w:color="auto" w:fill="auto"/>
          <w:lang w:val="en-US" w:eastAsia="zh-CN"/>
        </w:rPr>
        <w:t xml:space="preserve"> </w:t>
      </w:r>
      <w:r>
        <w:rPr>
          <w:rFonts w:hint="eastAsia" w:ascii="仿宋_GB2312" w:hAnsi="Courier New" w:eastAsia="仿宋_GB2312" w:cs="Courier New"/>
          <w:color w:val="auto"/>
          <w:sz w:val="32"/>
          <w:szCs w:val="32"/>
          <w:highlight w:val="none"/>
          <w:u w:val="none"/>
          <w:shd w:val="clear" w:color="auto" w:fill="auto"/>
          <w:lang w:eastAsia="zh-CN"/>
        </w:rPr>
        <w:t>农村集体经营性建设用地土地增值收益调节金收入</w:t>
      </w:r>
      <w:r>
        <w:rPr>
          <w:rFonts w:hint="eastAsia" w:ascii="仿宋_GB2312" w:hAnsi="Courier New" w:eastAsia="仿宋_GB2312" w:cs="Courier New"/>
          <w:color w:val="auto"/>
          <w:sz w:val="32"/>
          <w:szCs w:val="32"/>
          <w:highlight w:val="none"/>
          <w:u w:val="none"/>
          <w:shd w:val="clear" w:color="auto" w:fill="auto"/>
        </w:rPr>
        <w:t>”。</w:t>
      </w:r>
    </w:p>
    <w:p>
      <w:pPr>
        <w:keepNext w:val="0"/>
        <w:keepLines w:val="0"/>
        <w:pageBreakBefore w:val="0"/>
        <w:widowControl w:val="0"/>
        <w:numPr>
          <w:ilvl w:val="0"/>
          <w:numId w:val="0"/>
        </w:numPr>
        <w:kinsoku/>
        <w:wordWrap/>
        <w:overflowPunct/>
        <w:topLinePunct w:val="0"/>
        <w:autoSpaceDE/>
        <w:autoSpaceDN w:val="0"/>
        <w:bidi w:val="0"/>
        <w:adjustRightInd/>
        <w:snapToGrid/>
        <w:spacing w:beforeLines="0" w:line="560" w:lineRule="exact"/>
        <w:ind w:left="0" w:leftChars="0" w:right="0" w:rightChars="0" w:firstLine="640" w:firstLineChars="200"/>
        <w:textAlignment w:val="auto"/>
        <w:outlineLvl w:val="9"/>
        <w:rPr>
          <w:rFonts w:hint="eastAsia" w:ascii="仿宋_GB2312" w:hAnsi="Courier New" w:eastAsia="仿宋_GB2312" w:cs="Courier New"/>
          <w:color w:val="auto"/>
          <w:sz w:val="32"/>
          <w:szCs w:val="32"/>
          <w:highlight w:val="none"/>
          <w:u w:val="none"/>
          <w:shd w:val="clear" w:color="auto" w:fill="auto"/>
          <w:lang w:val="en-US" w:eastAsia="zh-CN"/>
        </w:rPr>
      </w:pPr>
      <w:r>
        <w:rPr>
          <w:rFonts w:hint="eastAsia" w:ascii="黑体" w:hAnsi="楷体" w:eastAsia="黑体"/>
          <w:color w:val="auto"/>
          <w:sz w:val="32"/>
          <w:szCs w:val="32"/>
          <w:u w:val="none"/>
          <w:shd w:val="clear" w:color="auto" w:fill="auto"/>
          <w:lang w:val="en-US" w:eastAsia="zh-CN"/>
        </w:rPr>
        <w:t>第十四条</w:t>
      </w:r>
      <w:r>
        <w:rPr>
          <w:rFonts w:hint="eastAsia" w:ascii="仿宋_GB2312" w:hAnsi="Courier New" w:eastAsia="仿宋_GB2312" w:cs="Courier New"/>
          <w:color w:val="auto"/>
          <w:sz w:val="32"/>
          <w:szCs w:val="32"/>
          <w:highlight w:val="none"/>
          <w:u w:val="none"/>
          <w:shd w:val="clear" w:color="auto" w:fill="auto"/>
          <w:lang w:val="en-US" w:eastAsia="zh-CN"/>
        </w:rPr>
        <w:t xml:space="preserve">  区规自分局根据合同和交易信息等，核定调节金应缴金额后，向缴纳义务人开具缴纳通知书，并将相关信息抄送至区财政局。</w:t>
      </w:r>
    </w:p>
    <w:p>
      <w:pPr>
        <w:keepNext w:val="0"/>
        <w:keepLines w:val="0"/>
        <w:pageBreakBefore w:val="0"/>
        <w:widowControl w:val="0"/>
        <w:kinsoku/>
        <w:wordWrap/>
        <w:overflowPunct/>
        <w:topLinePunct w:val="0"/>
        <w:autoSpaceDE/>
        <w:bidi w:val="0"/>
        <w:adjustRightInd/>
        <w:snapToGrid/>
        <w:spacing w:beforeLines="0" w:line="560" w:lineRule="exact"/>
        <w:ind w:left="0" w:leftChars="0" w:right="0" w:rightChars="0" w:firstLine="640" w:firstLineChars="200"/>
        <w:textAlignment w:val="auto"/>
        <w:outlineLvl w:val="9"/>
        <w:rPr>
          <w:rFonts w:hint="eastAsia" w:ascii="仿宋_GB2312" w:eastAsia="仿宋_GB2312"/>
          <w:color w:val="auto"/>
          <w:sz w:val="32"/>
          <w:szCs w:val="32"/>
          <w:u w:val="none"/>
          <w:shd w:val="clear" w:color="auto" w:fill="auto"/>
        </w:rPr>
      </w:pPr>
      <w:r>
        <w:rPr>
          <w:rFonts w:hint="eastAsia" w:ascii="黑体" w:hAnsi="楷体" w:eastAsia="黑体"/>
          <w:color w:val="auto"/>
          <w:sz w:val="32"/>
          <w:szCs w:val="32"/>
          <w:u w:val="none"/>
          <w:shd w:val="clear" w:color="auto" w:fill="auto"/>
        </w:rPr>
        <w:t>第</w:t>
      </w:r>
      <w:r>
        <w:rPr>
          <w:rFonts w:hint="eastAsia" w:ascii="黑体" w:hAnsi="楷体" w:eastAsia="黑体"/>
          <w:color w:val="auto"/>
          <w:sz w:val="32"/>
          <w:szCs w:val="32"/>
          <w:u w:val="none"/>
          <w:shd w:val="clear" w:color="auto" w:fill="auto"/>
          <w:lang w:eastAsia="zh-CN"/>
        </w:rPr>
        <w:t>十五</w:t>
      </w:r>
      <w:r>
        <w:rPr>
          <w:rFonts w:hint="eastAsia" w:ascii="黑体" w:hAnsi="楷体" w:eastAsia="黑体"/>
          <w:color w:val="auto"/>
          <w:sz w:val="32"/>
          <w:szCs w:val="32"/>
          <w:u w:val="none"/>
          <w:shd w:val="clear" w:color="auto" w:fill="auto"/>
        </w:rPr>
        <w:t>条</w:t>
      </w:r>
      <w:r>
        <w:rPr>
          <w:rFonts w:hint="eastAsia" w:ascii="仿宋_GB2312" w:eastAsia="仿宋_GB2312"/>
          <w:color w:val="auto"/>
          <w:sz w:val="32"/>
          <w:szCs w:val="32"/>
          <w:u w:val="none"/>
          <w:shd w:val="clear" w:color="auto" w:fill="auto"/>
        </w:rPr>
        <w:t xml:space="preserve">  </w:t>
      </w:r>
      <w:r>
        <w:rPr>
          <w:rFonts w:hint="eastAsia" w:ascii="仿宋_GB2312" w:hAnsi="仿宋" w:eastAsia="仿宋_GB2312"/>
          <w:color w:val="auto"/>
          <w:sz w:val="32"/>
          <w:szCs w:val="32"/>
          <w:u w:val="none"/>
          <w:shd w:val="clear" w:color="auto" w:fill="auto"/>
        </w:rPr>
        <w:t>调节金缴纳义务人应按合同、协议及缴纳通知书规定及时足额缴纳调节金。</w:t>
      </w:r>
    </w:p>
    <w:p>
      <w:pPr>
        <w:keepNext w:val="0"/>
        <w:keepLines w:val="0"/>
        <w:pageBreakBefore w:val="0"/>
        <w:widowControl w:val="0"/>
        <w:kinsoku/>
        <w:wordWrap/>
        <w:overflowPunct/>
        <w:topLinePunct w:val="0"/>
        <w:autoSpaceDE/>
        <w:bidi w:val="0"/>
        <w:adjustRightInd/>
        <w:snapToGrid/>
        <w:spacing w:beforeLines="0" w:line="560" w:lineRule="exact"/>
        <w:ind w:left="0" w:leftChars="0" w:right="0" w:rightChars="0" w:firstLine="640" w:firstLineChars="200"/>
        <w:textAlignment w:val="auto"/>
        <w:outlineLvl w:val="9"/>
        <w:rPr>
          <w:rFonts w:hint="eastAsia" w:ascii="仿宋_GB2312" w:eastAsia="仿宋_GB2312"/>
          <w:color w:val="auto"/>
          <w:sz w:val="32"/>
          <w:szCs w:val="32"/>
          <w:u w:val="none"/>
          <w:shd w:val="clear" w:color="auto" w:fill="auto"/>
        </w:rPr>
      </w:pPr>
      <w:r>
        <w:rPr>
          <w:rFonts w:hint="eastAsia" w:ascii="仿宋_GB2312" w:hAnsi="仿宋" w:eastAsia="仿宋_GB2312"/>
          <w:color w:val="auto"/>
          <w:sz w:val="32"/>
          <w:szCs w:val="32"/>
          <w:u w:val="none"/>
          <w:shd w:val="clear" w:color="auto" w:fill="auto"/>
        </w:rPr>
        <w:t>对未按规定缴纳调节金的，</w:t>
      </w:r>
      <w:r>
        <w:rPr>
          <w:rFonts w:hint="eastAsia" w:ascii="仿宋_GB2312" w:hAnsi="仿宋" w:eastAsia="仿宋_GB2312"/>
          <w:color w:val="auto"/>
          <w:sz w:val="32"/>
          <w:szCs w:val="32"/>
          <w:u w:val="none"/>
          <w:shd w:val="clear" w:color="auto" w:fill="auto"/>
          <w:lang w:eastAsia="zh-CN"/>
        </w:rPr>
        <w:t>区</w:t>
      </w:r>
      <w:r>
        <w:rPr>
          <w:rFonts w:hint="default" w:ascii="仿宋_GB2312" w:hAnsi="仿宋" w:eastAsia="仿宋_GB2312"/>
          <w:color w:val="auto"/>
          <w:sz w:val="32"/>
          <w:szCs w:val="32"/>
          <w:u w:val="none"/>
          <w:shd w:val="clear" w:color="auto" w:fill="auto"/>
          <w:lang w:eastAsia="zh-CN"/>
        </w:rPr>
        <w:t>规自分局、区财政局</w:t>
      </w:r>
      <w:r>
        <w:rPr>
          <w:rFonts w:hint="eastAsia" w:ascii="仿宋_GB2312" w:hAnsi="仿宋" w:eastAsia="仿宋_GB2312"/>
          <w:color w:val="auto"/>
          <w:sz w:val="32"/>
          <w:szCs w:val="32"/>
          <w:u w:val="none"/>
          <w:shd w:val="clear" w:color="auto" w:fill="auto"/>
        </w:rPr>
        <w:t>有权采取措施督促其补缴。</w:t>
      </w:r>
    </w:p>
    <w:p>
      <w:pPr>
        <w:keepNext w:val="0"/>
        <w:keepLines w:val="0"/>
        <w:pageBreakBefore w:val="0"/>
        <w:widowControl w:val="0"/>
        <w:kinsoku/>
        <w:wordWrap/>
        <w:overflowPunct/>
        <w:topLinePunct w:val="0"/>
        <w:autoSpaceDE/>
        <w:bidi w:val="0"/>
        <w:adjustRightInd/>
        <w:snapToGrid/>
        <w:spacing w:beforeLines="0" w:line="560" w:lineRule="exact"/>
        <w:ind w:left="0" w:leftChars="0" w:right="0" w:rightChars="0" w:firstLine="640" w:firstLineChars="200"/>
        <w:textAlignment w:val="auto"/>
        <w:outlineLvl w:val="9"/>
        <w:rPr>
          <w:rFonts w:hint="eastAsia" w:ascii="仿宋_GB2312" w:eastAsia="仿宋_GB2312"/>
          <w:color w:val="auto"/>
          <w:sz w:val="32"/>
          <w:szCs w:val="32"/>
          <w:u w:val="none"/>
          <w:shd w:val="clear" w:color="auto" w:fill="auto"/>
        </w:rPr>
      </w:pPr>
      <w:r>
        <w:rPr>
          <w:rFonts w:hint="eastAsia" w:ascii="仿宋_GB2312" w:hAnsi="仿宋" w:eastAsia="仿宋_GB2312"/>
          <w:color w:val="auto"/>
          <w:sz w:val="32"/>
          <w:szCs w:val="32"/>
          <w:u w:val="none"/>
          <w:shd w:val="clear" w:color="auto" w:fill="auto"/>
        </w:rPr>
        <w:t>调节金缴纳凭证是农村集体经营性建设用地办理不动产登记手续的要件。</w:t>
      </w:r>
    </w:p>
    <w:p>
      <w:pPr>
        <w:keepNext w:val="0"/>
        <w:keepLines w:val="0"/>
        <w:pageBreakBefore w:val="0"/>
        <w:widowControl w:val="0"/>
        <w:numPr>
          <w:ilvl w:val="0"/>
          <w:numId w:val="0"/>
        </w:numPr>
        <w:kinsoku/>
        <w:wordWrap/>
        <w:overflowPunct/>
        <w:topLinePunct w:val="0"/>
        <w:autoSpaceDE/>
        <w:autoSpaceDN w:val="0"/>
        <w:bidi w:val="0"/>
        <w:adjustRightInd/>
        <w:snapToGrid/>
        <w:spacing w:beforeLines="0" w:line="560" w:lineRule="exact"/>
        <w:ind w:firstLine="640" w:firstLineChars="200"/>
        <w:textAlignment w:val="auto"/>
        <w:rPr>
          <w:rFonts w:hint="eastAsia" w:ascii="仿宋_GB2312" w:hAnsi="仿宋" w:eastAsia="仿宋_GB2312"/>
          <w:color w:val="auto"/>
          <w:sz w:val="32"/>
          <w:szCs w:val="32"/>
          <w:u w:val="none"/>
          <w:shd w:val="clear" w:color="auto" w:fill="auto"/>
          <w:lang w:val="en-US" w:eastAsia="zh-CN"/>
        </w:rPr>
      </w:pPr>
      <w:r>
        <w:rPr>
          <w:rFonts w:hint="eastAsia" w:ascii="黑体" w:hAnsi="楷体" w:eastAsia="黑体"/>
          <w:color w:val="auto"/>
          <w:sz w:val="32"/>
          <w:szCs w:val="32"/>
          <w:u w:val="none"/>
          <w:shd w:val="clear" w:color="auto" w:fill="auto"/>
        </w:rPr>
        <w:t>第</w:t>
      </w:r>
      <w:r>
        <w:rPr>
          <w:rFonts w:hint="eastAsia" w:ascii="黑体" w:hAnsi="楷体" w:eastAsia="黑体"/>
          <w:color w:val="auto"/>
          <w:sz w:val="32"/>
          <w:szCs w:val="32"/>
          <w:u w:val="none"/>
          <w:shd w:val="clear" w:color="auto" w:fill="auto"/>
          <w:lang w:eastAsia="zh-CN"/>
        </w:rPr>
        <w:t>十</w:t>
      </w:r>
      <w:r>
        <w:rPr>
          <w:rFonts w:hint="eastAsia" w:ascii="黑体" w:hAnsi="楷体" w:eastAsia="黑体"/>
          <w:color w:val="auto"/>
          <w:sz w:val="32"/>
          <w:szCs w:val="32"/>
          <w:u w:val="none"/>
          <w:shd w:val="clear" w:color="auto" w:fill="auto"/>
          <w:lang w:val="en-US" w:eastAsia="zh-CN"/>
        </w:rPr>
        <w:t>六</w:t>
      </w:r>
      <w:r>
        <w:rPr>
          <w:rFonts w:hint="eastAsia" w:ascii="黑体" w:hAnsi="楷体" w:eastAsia="黑体"/>
          <w:color w:val="auto"/>
          <w:sz w:val="32"/>
          <w:szCs w:val="32"/>
          <w:u w:val="none"/>
          <w:shd w:val="clear" w:color="auto" w:fill="auto"/>
        </w:rPr>
        <w:t>条</w:t>
      </w:r>
      <w:r>
        <w:rPr>
          <w:rFonts w:hint="eastAsia" w:ascii="仿宋_GB2312" w:hAnsi="仿宋" w:eastAsia="仿宋_GB2312"/>
          <w:color w:val="auto"/>
          <w:sz w:val="32"/>
          <w:szCs w:val="32"/>
          <w:u w:val="none"/>
          <w:shd w:val="clear" w:color="auto" w:fill="auto"/>
          <w:lang w:val="en-US" w:eastAsia="zh-CN"/>
        </w:rPr>
        <w:t xml:space="preserve">  调节金</w:t>
      </w:r>
      <w:r>
        <w:rPr>
          <w:rFonts w:hint="eastAsia" w:ascii="仿宋_GB2312" w:hAnsi="仿宋" w:eastAsia="仿宋_GB2312"/>
          <w:color w:val="auto"/>
          <w:sz w:val="32"/>
          <w:szCs w:val="32"/>
          <w:u w:val="none"/>
          <w:shd w:val="clear" w:color="auto" w:fill="auto"/>
        </w:rPr>
        <w:t>纳入一般公共预算管理</w:t>
      </w:r>
      <w:r>
        <w:rPr>
          <w:rFonts w:hint="eastAsia" w:ascii="仿宋_GB2312" w:hAnsi="仿宋" w:eastAsia="仿宋_GB2312"/>
          <w:color w:val="auto"/>
          <w:sz w:val="32"/>
          <w:szCs w:val="32"/>
          <w:u w:val="none"/>
          <w:shd w:val="clear" w:color="auto" w:fill="auto"/>
          <w:lang w:eastAsia="zh-CN"/>
        </w:rPr>
        <w:t>，</w:t>
      </w:r>
      <w:r>
        <w:rPr>
          <w:rFonts w:hint="eastAsia" w:ascii="仿宋_GB2312" w:hAnsi="仿宋" w:eastAsia="仿宋_GB2312"/>
          <w:color w:val="auto"/>
          <w:sz w:val="32"/>
          <w:szCs w:val="32"/>
          <w:u w:val="none"/>
          <w:shd w:val="clear" w:color="auto" w:fill="auto"/>
          <w:lang w:val="en-US" w:eastAsia="zh-CN"/>
        </w:rPr>
        <w:t>由区级财政统筹安排使用。资金支付按照国库集中支付制度有关规定执行。</w:t>
      </w:r>
    </w:p>
    <w:p>
      <w:pPr>
        <w:keepNext w:val="0"/>
        <w:keepLines w:val="0"/>
        <w:pageBreakBefore w:val="0"/>
        <w:widowControl w:val="0"/>
        <w:numPr>
          <w:ilvl w:val="0"/>
          <w:numId w:val="0"/>
        </w:numPr>
        <w:kinsoku/>
        <w:wordWrap/>
        <w:overflowPunct/>
        <w:topLinePunct w:val="0"/>
        <w:autoSpaceDE/>
        <w:autoSpaceDN w:val="0"/>
        <w:bidi w:val="0"/>
        <w:adjustRightInd/>
        <w:snapToGrid/>
        <w:spacing w:beforeLines="0" w:line="560" w:lineRule="exact"/>
        <w:ind w:firstLine="640" w:firstLineChars="200"/>
        <w:textAlignment w:val="auto"/>
        <w:rPr>
          <w:rFonts w:hint="default" w:ascii="仿宋_GB2312" w:hAnsi="仿宋" w:eastAsia="仿宋_GB2312"/>
          <w:color w:val="auto"/>
          <w:sz w:val="32"/>
          <w:szCs w:val="32"/>
          <w:u w:val="none"/>
          <w:shd w:val="clear" w:color="auto" w:fill="auto"/>
          <w:lang w:val="en-US" w:eastAsia="zh-CN"/>
        </w:rPr>
      </w:pPr>
      <w:r>
        <w:rPr>
          <w:rFonts w:hint="eastAsia" w:ascii="黑体" w:hAnsi="楷体" w:eastAsia="黑体"/>
          <w:color w:val="auto"/>
          <w:sz w:val="32"/>
          <w:szCs w:val="32"/>
          <w:u w:val="none"/>
          <w:shd w:val="clear" w:color="auto" w:fill="auto"/>
        </w:rPr>
        <w:t>第</w:t>
      </w:r>
      <w:r>
        <w:rPr>
          <w:rFonts w:hint="eastAsia" w:ascii="黑体" w:hAnsi="楷体" w:eastAsia="黑体"/>
          <w:color w:val="auto"/>
          <w:sz w:val="32"/>
          <w:szCs w:val="32"/>
          <w:u w:val="none"/>
          <w:shd w:val="clear" w:color="auto" w:fill="auto"/>
          <w:lang w:eastAsia="zh-CN"/>
        </w:rPr>
        <w:t>十</w:t>
      </w:r>
      <w:r>
        <w:rPr>
          <w:rFonts w:hint="eastAsia" w:ascii="黑体" w:hAnsi="楷体" w:eastAsia="黑体"/>
          <w:color w:val="auto"/>
          <w:sz w:val="32"/>
          <w:szCs w:val="32"/>
          <w:u w:val="none"/>
          <w:shd w:val="clear" w:color="auto" w:fill="auto"/>
          <w:lang w:val="en-US" w:eastAsia="zh-CN"/>
        </w:rPr>
        <w:t>七</w:t>
      </w:r>
      <w:r>
        <w:rPr>
          <w:rFonts w:hint="eastAsia" w:ascii="黑体" w:hAnsi="楷体" w:eastAsia="黑体"/>
          <w:color w:val="auto"/>
          <w:sz w:val="32"/>
          <w:szCs w:val="32"/>
          <w:u w:val="none"/>
          <w:shd w:val="clear" w:color="auto" w:fill="auto"/>
        </w:rPr>
        <w:t>条</w:t>
      </w:r>
      <w:r>
        <w:rPr>
          <w:rFonts w:hint="eastAsia" w:ascii="仿宋_GB2312" w:hAnsi="仿宋" w:eastAsia="仿宋_GB2312"/>
          <w:color w:val="auto"/>
          <w:sz w:val="32"/>
          <w:szCs w:val="32"/>
          <w:u w:val="none"/>
          <w:shd w:val="clear" w:color="auto" w:fill="auto"/>
          <w:lang w:val="en-US" w:eastAsia="zh-CN"/>
        </w:rPr>
        <w:t xml:space="preserve">  再转让环节调节金征收相关工作经费列入区规自分局部门预算。</w:t>
      </w:r>
    </w:p>
    <w:p>
      <w:pPr>
        <w:keepNext w:val="0"/>
        <w:keepLines w:val="0"/>
        <w:pageBreakBefore w:val="0"/>
        <w:widowControl w:val="0"/>
        <w:kinsoku/>
        <w:wordWrap/>
        <w:overflowPunct/>
        <w:topLinePunct w:val="0"/>
        <w:autoSpaceDE/>
        <w:bidi w:val="0"/>
        <w:adjustRightInd/>
        <w:snapToGrid/>
        <w:spacing w:beforeLines="0" w:line="560" w:lineRule="exact"/>
        <w:ind w:right="0" w:rightChars="0"/>
        <w:jc w:val="center"/>
        <w:textAlignment w:val="auto"/>
        <w:outlineLvl w:val="9"/>
        <w:rPr>
          <w:rFonts w:hint="eastAsia" w:ascii="黑体" w:hAnsi="楷体" w:eastAsia="黑体"/>
          <w:color w:val="auto"/>
          <w:sz w:val="32"/>
          <w:szCs w:val="32"/>
          <w:u w:val="none"/>
          <w:shd w:val="clear" w:color="auto" w:fill="auto"/>
          <w:lang w:val="en-US" w:eastAsia="zh-CN"/>
        </w:rPr>
      </w:pPr>
      <w:r>
        <w:rPr>
          <w:rFonts w:hint="eastAsia" w:ascii="黑体" w:hAnsi="楷体" w:eastAsia="黑体"/>
          <w:color w:val="auto"/>
          <w:sz w:val="32"/>
          <w:szCs w:val="32"/>
          <w:u w:val="none"/>
          <w:shd w:val="clear" w:color="auto" w:fill="auto"/>
          <w:lang w:eastAsia="zh-CN"/>
        </w:rPr>
        <w:t>第五章</w:t>
      </w:r>
      <w:r>
        <w:rPr>
          <w:rFonts w:hint="eastAsia" w:ascii="黑体" w:hAnsi="楷体" w:eastAsia="黑体"/>
          <w:color w:val="auto"/>
          <w:sz w:val="32"/>
          <w:szCs w:val="32"/>
          <w:u w:val="none"/>
          <w:shd w:val="clear" w:color="auto" w:fill="auto"/>
          <w:lang w:val="en-US" w:eastAsia="zh-CN"/>
        </w:rPr>
        <w:t xml:space="preserve"> 部门职责</w:t>
      </w:r>
    </w:p>
    <w:p>
      <w:pPr>
        <w:keepNext w:val="0"/>
        <w:keepLines w:val="0"/>
        <w:pageBreakBefore w:val="0"/>
        <w:widowControl w:val="0"/>
        <w:numPr>
          <w:ilvl w:val="0"/>
          <w:numId w:val="0"/>
        </w:numPr>
        <w:kinsoku/>
        <w:wordWrap/>
        <w:overflowPunct/>
        <w:topLinePunct w:val="0"/>
        <w:autoSpaceDE/>
        <w:autoSpaceDN w:val="0"/>
        <w:bidi w:val="0"/>
        <w:adjustRightInd/>
        <w:snapToGrid/>
        <w:spacing w:beforeLines="0" w:line="560" w:lineRule="exact"/>
        <w:ind w:firstLine="640" w:firstLineChars="200"/>
        <w:textAlignment w:val="auto"/>
        <w:rPr>
          <w:rFonts w:hint="eastAsia" w:ascii="仿宋_GB2312" w:hAnsi="仿宋" w:eastAsia="仿宋_GB2312"/>
          <w:color w:val="auto"/>
          <w:sz w:val="32"/>
          <w:szCs w:val="32"/>
          <w:u w:val="none"/>
          <w:shd w:val="clear" w:color="auto" w:fill="auto"/>
          <w:lang w:val="en-US" w:eastAsia="zh-CN"/>
        </w:rPr>
      </w:pPr>
      <w:r>
        <w:rPr>
          <w:rFonts w:hint="eastAsia" w:ascii="黑体" w:hAnsi="楷体" w:eastAsia="黑体"/>
          <w:color w:val="auto"/>
          <w:sz w:val="32"/>
          <w:szCs w:val="32"/>
          <w:u w:val="none"/>
          <w:shd w:val="clear" w:color="auto" w:fill="auto"/>
          <w:lang w:val="en-US" w:eastAsia="zh-CN"/>
        </w:rPr>
        <w:t xml:space="preserve">第十八条  </w:t>
      </w:r>
      <w:r>
        <w:rPr>
          <w:rFonts w:hint="eastAsia" w:ascii="仿宋_GB2312" w:hAnsi="仿宋" w:eastAsia="仿宋_GB2312"/>
          <w:color w:val="auto"/>
          <w:sz w:val="32"/>
          <w:szCs w:val="32"/>
          <w:u w:val="none"/>
          <w:shd w:val="clear" w:color="auto" w:fill="auto"/>
          <w:lang w:val="en-US" w:eastAsia="zh-CN"/>
        </w:rPr>
        <w:t>区规自分局负责调节金执收工作，并定期公示农村集体经营性建设用地成交及调节金缴纳情况。</w:t>
      </w:r>
    </w:p>
    <w:p>
      <w:pPr>
        <w:keepNext w:val="0"/>
        <w:keepLines w:val="0"/>
        <w:pageBreakBefore w:val="0"/>
        <w:widowControl w:val="0"/>
        <w:numPr>
          <w:ilvl w:val="0"/>
          <w:numId w:val="0"/>
        </w:numPr>
        <w:kinsoku/>
        <w:wordWrap/>
        <w:overflowPunct/>
        <w:topLinePunct w:val="0"/>
        <w:autoSpaceDE/>
        <w:autoSpaceDN w:val="0"/>
        <w:bidi w:val="0"/>
        <w:adjustRightInd/>
        <w:snapToGrid/>
        <w:spacing w:beforeLines="0" w:line="560" w:lineRule="exact"/>
        <w:ind w:firstLine="640" w:firstLineChars="200"/>
        <w:textAlignment w:val="auto"/>
        <w:rPr>
          <w:rFonts w:hint="eastAsia" w:ascii="仿宋_GB2312" w:hAnsi="仿宋" w:eastAsia="仿宋_GB2312"/>
          <w:color w:val="auto"/>
          <w:sz w:val="32"/>
          <w:szCs w:val="32"/>
          <w:u w:val="none"/>
          <w:shd w:val="clear" w:color="auto" w:fill="auto"/>
          <w:lang w:val="en-US" w:eastAsia="zh-CN"/>
        </w:rPr>
      </w:pPr>
      <w:r>
        <w:rPr>
          <w:rFonts w:hint="eastAsia" w:ascii="仿宋_GB2312" w:hAnsi="仿宋" w:eastAsia="仿宋_GB2312"/>
          <w:color w:val="auto"/>
          <w:sz w:val="32"/>
          <w:szCs w:val="32"/>
          <w:u w:val="none"/>
          <w:shd w:val="clear" w:color="auto" w:fill="auto"/>
          <w:lang w:val="en-US" w:eastAsia="zh-CN"/>
        </w:rPr>
        <w:t>区集地中心负责制定和调度农村集体经营性建设用地入市年度计划。</w:t>
      </w:r>
    </w:p>
    <w:p>
      <w:pPr>
        <w:keepNext w:val="0"/>
        <w:keepLines w:val="0"/>
        <w:pageBreakBefore w:val="0"/>
        <w:widowControl w:val="0"/>
        <w:numPr>
          <w:ilvl w:val="0"/>
          <w:numId w:val="0"/>
        </w:numPr>
        <w:kinsoku/>
        <w:wordWrap/>
        <w:overflowPunct/>
        <w:topLinePunct w:val="0"/>
        <w:autoSpaceDE/>
        <w:autoSpaceDN w:val="0"/>
        <w:bidi w:val="0"/>
        <w:adjustRightInd/>
        <w:snapToGrid/>
        <w:spacing w:beforeLines="0" w:line="560" w:lineRule="exact"/>
        <w:ind w:firstLine="640" w:firstLineChars="200"/>
        <w:textAlignment w:val="auto"/>
        <w:rPr>
          <w:rFonts w:hint="eastAsia" w:ascii="仿宋_GB2312" w:eastAsia="仿宋_GB2312"/>
          <w:color w:val="auto"/>
          <w:sz w:val="32"/>
          <w:szCs w:val="32"/>
          <w:highlight w:val="none"/>
          <w:u w:val="none"/>
          <w:shd w:val="clear" w:color="auto" w:fill="auto"/>
          <w:lang w:eastAsia="zh-CN"/>
        </w:rPr>
      </w:pPr>
      <w:r>
        <w:rPr>
          <w:rFonts w:hint="eastAsia" w:ascii="仿宋_GB2312" w:hAnsi="仿宋" w:eastAsia="仿宋_GB2312"/>
          <w:color w:val="auto"/>
          <w:sz w:val="32"/>
          <w:szCs w:val="32"/>
          <w:u w:val="none"/>
          <w:shd w:val="clear" w:color="auto" w:fill="auto"/>
          <w:lang w:val="en-US" w:eastAsia="zh-CN"/>
        </w:rPr>
        <w:t>区财政局负责调节金的统筹管理与使用工作，并按照非税收入有关文件做好调节金的监督检查工作。</w:t>
      </w:r>
    </w:p>
    <w:p>
      <w:pPr>
        <w:keepNext w:val="0"/>
        <w:keepLines w:val="0"/>
        <w:pageBreakBefore w:val="0"/>
        <w:widowControl w:val="0"/>
        <w:kinsoku/>
        <w:wordWrap/>
        <w:overflowPunct/>
        <w:topLinePunct w:val="0"/>
        <w:autoSpaceDE/>
        <w:bidi w:val="0"/>
        <w:adjustRightInd/>
        <w:snapToGrid/>
        <w:spacing w:beforeLines="0" w:line="560" w:lineRule="exact"/>
        <w:ind w:right="0" w:rightChars="0"/>
        <w:jc w:val="center"/>
        <w:textAlignment w:val="auto"/>
        <w:outlineLvl w:val="9"/>
        <w:rPr>
          <w:rFonts w:hint="eastAsia" w:ascii="黑体" w:hAnsi="楷体" w:eastAsia="黑体"/>
          <w:color w:val="auto"/>
          <w:sz w:val="32"/>
          <w:szCs w:val="32"/>
          <w:u w:val="none"/>
          <w:shd w:val="clear" w:color="auto" w:fill="auto"/>
          <w:lang w:eastAsia="zh-CN"/>
        </w:rPr>
      </w:pPr>
      <w:r>
        <w:rPr>
          <w:rFonts w:hint="eastAsia" w:ascii="黑体" w:hAnsi="楷体" w:eastAsia="黑体"/>
          <w:color w:val="auto"/>
          <w:sz w:val="32"/>
          <w:szCs w:val="32"/>
          <w:u w:val="none"/>
          <w:shd w:val="clear" w:color="auto" w:fill="auto"/>
          <w:lang w:eastAsia="zh-CN"/>
        </w:rPr>
        <w:t>第六章</w:t>
      </w:r>
      <w:r>
        <w:rPr>
          <w:rFonts w:hint="eastAsia" w:ascii="黑体" w:hAnsi="楷体" w:eastAsia="黑体"/>
          <w:color w:val="auto"/>
          <w:sz w:val="32"/>
          <w:szCs w:val="32"/>
          <w:u w:val="none"/>
          <w:shd w:val="clear" w:color="auto" w:fill="auto"/>
          <w:lang w:val="en-US" w:eastAsia="zh-CN"/>
        </w:rPr>
        <w:t xml:space="preserve"> </w:t>
      </w:r>
      <w:r>
        <w:rPr>
          <w:rFonts w:hint="eastAsia" w:ascii="黑体" w:hAnsi="楷体" w:eastAsia="黑体"/>
          <w:color w:val="auto"/>
          <w:sz w:val="32"/>
          <w:szCs w:val="32"/>
          <w:u w:val="none"/>
          <w:shd w:val="clear" w:color="auto" w:fill="auto"/>
          <w:lang w:eastAsia="zh-CN"/>
        </w:rPr>
        <w:t>法律责任</w:t>
      </w:r>
    </w:p>
    <w:p>
      <w:pPr>
        <w:keepNext w:val="0"/>
        <w:keepLines w:val="0"/>
        <w:pageBreakBefore w:val="0"/>
        <w:widowControl w:val="0"/>
        <w:kinsoku/>
        <w:wordWrap/>
        <w:overflowPunct/>
        <w:topLinePunct w:val="0"/>
        <w:autoSpaceDE/>
        <w:bidi w:val="0"/>
        <w:adjustRightInd/>
        <w:snapToGrid/>
        <w:spacing w:beforeLines="0" w:line="560" w:lineRule="exact"/>
        <w:ind w:left="0" w:leftChars="0" w:right="0" w:rightChars="0" w:firstLine="640" w:firstLineChars="200"/>
        <w:textAlignment w:val="auto"/>
        <w:outlineLvl w:val="9"/>
        <w:rPr>
          <w:rFonts w:hint="eastAsia" w:ascii="仿宋_GB2312" w:eastAsia="仿宋_GB2312"/>
          <w:color w:val="auto"/>
          <w:sz w:val="32"/>
          <w:szCs w:val="32"/>
          <w:u w:val="none"/>
          <w:shd w:val="clear" w:color="auto" w:fill="auto"/>
        </w:rPr>
      </w:pPr>
      <w:r>
        <w:rPr>
          <w:rFonts w:hint="eastAsia" w:ascii="黑体" w:hAnsi="楷体" w:eastAsia="黑体"/>
          <w:color w:val="auto"/>
          <w:sz w:val="32"/>
          <w:szCs w:val="32"/>
          <w:u w:val="none"/>
          <w:shd w:val="clear" w:color="auto" w:fill="auto"/>
        </w:rPr>
        <w:t>第十</w:t>
      </w:r>
      <w:r>
        <w:rPr>
          <w:rFonts w:hint="eastAsia" w:ascii="黑体" w:hAnsi="楷体" w:eastAsia="黑体"/>
          <w:color w:val="auto"/>
          <w:sz w:val="32"/>
          <w:szCs w:val="32"/>
          <w:u w:val="none"/>
          <w:shd w:val="clear" w:color="auto" w:fill="auto"/>
          <w:lang w:val="en-US" w:eastAsia="zh-CN"/>
        </w:rPr>
        <w:t>九</w:t>
      </w:r>
      <w:r>
        <w:rPr>
          <w:rFonts w:hint="eastAsia" w:ascii="黑体" w:hAnsi="楷体" w:eastAsia="黑体"/>
          <w:color w:val="auto"/>
          <w:sz w:val="32"/>
          <w:szCs w:val="32"/>
          <w:u w:val="none"/>
          <w:shd w:val="clear" w:color="auto" w:fill="auto"/>
        </w:rPr>
        <w:t>条</w:t>
      </w:r>
      <w:r>
        <w:rPr>
          <w:rFonts w:hint="eastAsia" w:ascii="仿宋_GB2312" w:eastAsia="仿宋_GB2312"/>
          <w:color w:val="auto"/>
          <w:sz w:val="32"/>
          <w:szCs w:val="32"/>
          <w:u w:val="none"/>
          <w:shd w:val="clear" w:color="auto" w:fill="auto"/>
        </w:rPr>
        <w:t xml:space="preserve">  </w:t>
      </w:r>
      <w:r>
        <w:rPr>
          <w:rFonts w:hint="eastAsia" w:ascii="仿宋_GB2312" w:hAnsi="仿宋" w:eastAsia="仿宋_GB2312"/>
          <w:color w:val="auto"/>
          <w:sz w:val="32"/>
          <w:szCs w:val="32"/>
          <w:u w:val="none"/>
          <w:shd w:val="clear" w:color="auto" w:fill="auto"/>
        </w:rPr>
        <w:t>单位和个人违反本规定，有下列情形之一的，依照《财政违法行为处罚处分条例》和《违反行政事业性收费和罚没收入收支两条线管理规定行政处分暂行规定》等国家有关规定追究法律责任；涉嫌犯罪的，依法移送司法机关处理：</w:t>
      </w:r>
    </w:p>
    <w:p>
      <w:pPr>
        <w:keepNext w:val="0"/>
        <w:keepLines w:val="0"/>
        <w:pageBreakBefore w:val="0"/>
        <w:widowControl w:val="0"/>
        <w:numPr>
          <w:ilvl w:val="0"/>
          <w:numId w:val="1"/>
        </w:numPr>
        <w:tabs>
          <w:tab w:val="left" w:pos="1620"/>
        </w:tabs>
        <w:kinsoku/>
        <w:wordWrap/>
        <w:overflowPunct/>
        <w:topLinePunct w:val="0"/>
        <w:autoSpaceDE/>
        <w:bidi w:val="0"/>
        <w:adjustRightInd/>
        <w:snapToGrid/>
        <w:spacing w:beforeLines="0" w:line="560" w:lineRule="exact"/>
        <w:ind w:left="0" w:leftChars="0" w:right="0" w:rightChars="0" w:firstLine="640" w:firstLineChars="200"/>
        <w:textAlignment w:val="auto"/>
        <w:outlineLvl w:val="9"/>
        <w:rPr>
          <w:rFonts w:hint="eastAsia" w:ascii="仿宋_GB2312" w:eastAsia="仿宋_GB2312"/>
          <w:color w:val="auto"/>
          <w:sz w:val="32"/>
          <w:szCs w:val="32"/>
          <w:u w:val="none"/>
          <w:shd w:val="clear" w:color="auto" w:fill="auto"/>
        </w:rPr>
      </w:pPr>
      <w:r>
        <w:rPr>
          <w:rFonts w:hint="eastAsia" w:ascii="仿宋_GB2312" w:hAnsi="仿宋" w:eastAsia="仿宋_GB2312"/>
          <w:color w:val="auto"/>
          <w:sz w:val="32"/>
          <w:szCs w:val="32"/>
          <w:u w:val="none"/>
          <w:shd w:val="clear" w:color="auto" w:fill="auto"/>
        </w:rPr>
        <w:t>擅自减免调节金或者改变调节金征收范围、对象和标准的；</w:t>
      </w:r>
    </w:p>
    <w:p>
      <w:pPr>
        <w:keepNext w:val="0"/>
        <w:keepLines w:val="0"/>
        <w:pageBreakBefore w:val="0"/>
        <w:widowControl w:val="0"/>
        <w:numPr>
          <w:ilvl w:val="0"/>
          <w:numId w:val="1"/>
        </w:numPr>
        <w:tabs>
          <w:tab w:val="left" w:pos="1620"/>
        </w:tabs>
        <w:kinsoku/>
        <w:wordWrap/>
        <w:overflowPunct/>
        <w:topLinePunct w:val="0"/>
        <w:autoSpaceDE/>
        <w:bidi w:val="0"/>
        <w:adjustRightInd/>
        <w:snapToGrid/>
        <w:spacing w:beforeLines="0" w:line="560" w:lineRule="exact"/>
        <w:ind w:left="0" w:leftChars="0" w:right="0" w:rightChars="0" w:firstLine="640" w:firstLineChars="200"/>
        <w:textAlignment w:val="auto"/>
        <w:outlineLvl w:val="9"/>
        <w:rPr>
          <w:rFonts w:hint="eastAsia" w:ascii="仿宋_GB2312" w:eastAsia="仿宋_GB2312"/>
          <w:color w:val="auto"/>
          <w:sz w:val="32"/>
          <w:szCs w:val="32"/>
          <w:u w:val="none"/>
          <w:shd w:val="clear" w:color="auto" w:fill="auto"/>
        </w:rPr>
      </w:pPr>
      <w:r>
        <w:rPr>
          <w:rFonts w:hint="eastAsia" w:ascii="仿宋_GB2312" w:hAnsi="仿宋" w:eastAsia="仿宋_GB2312"/>
          <w:color w:val="auto"/>
          <w:sz w:val="32"/>
          <w:szCs w:val="32"/>
          <w:u w:val="none"/>
          <w:shd w:val="clear" w:color="auto" w:fill="auto"/>
        </w:rPr>
        <w:t>隐瞒、坐支应当上缴的调节金的；</w:t>
      </w:r>
    </w:p>
    <w:p>
      <w:pPr>
        <w:keepNext w:val="0"/>
        <w:keepLines w:val="0"/>
        <w:pageBreakBefore w:val="0"/>
        <w:widowControl w:val="0"/>
        <w:numPr>
          <w:ilvl w:val="0"/>
          <w:numId w:val="1"/>
        </w:numPr>
        <w:tabs>
          <w:tab w:val="left" w:pos="1620"/>
        </w:tabs>
        <w:kinsoku/>
        <w:wordWrap/>
        <w:overflowPunct/>
        <w:topLinePunct w:val="0"/>
        <w:autoSpaceDE/>
        <w:bidi w:val="0"/>
        <w:adjustRightInd/>
        <w:snapToGrid/>
        <w:spacing w:beforeLines="0" w:line="560" w:lineRule="exact"/>
        <w:ind w:left="0" w:leftChars="0" w:right="0" w:rightChars="0" w:firstLine="640" w:firstLineChars="200"/>
        <w:textAlignment w:val="auto"/>
        <w:outlineLvl w:val="9"/>
        <w:rPr>
          <w:rFonts w:hint="eastAsia" w:ascii="仿宋_GB2312" w:eastAsia="仿宋_GB2312"/>
          <w:color w:val="auto"/>
          <w:sz w:val="32"/>
          <w:szCs w:val="32"/>
          <w:u w:val="none"/>
          <w:shd w:val="clear" w:color="auto" w:fill="auto"/>
        </w:rPr>
      </w:pPr>
      <w:r>
        <w:rPr>
          <w:rFonts w:hint="eastAsia" w:ascii="仿宋_GB2312" w:hAnsi="仿宋" w:eastAsia="仿宋_GB2312"/>
          <w:color w:val="auto"/>
          <w:sz w:val="32"/>
          <w:szCs w:val="32"/>
          <w:u w:val="none"/>
          <w:shd w:val="clear" w:color="auto" w:fill="auto"/>
        </w:rPr>
        <w:t>滞留、截留、挪用应当上缴的调节金的；</w:t>
      </w:r>
    </w:p>
    <w:p>
      <w:pPr>
        <w:keepNext w:val="0"/>
        <w:keepLines w:val="0"/>
        <w:pageBreakBefore w:val="0"/>
        <w:widowControl w:val="0"/>
        <w:numPr>
          <w:ilvl w:val="0"/>
          <w:numId w:val="1"/>
        </w:numPr>
        <w:tabs>
          <w:tab w:val="left" w:pos="1620"/>
        </w:tabs>
        <w:kinsoku/>
        <w:wordWrap/>
        <w:overflowPunct/>
        <w:topLinePunct w:val="0"/>
        <w:autoSpaceDE/>
        <w:bidi w:val="0"/>
        <w:adjustRightInd/>
        <w:snapToGrid/>
        <w:spacing w:beforeLines="0" w:line="560" w:lineRule="exact"/>
        <w:ind w:left="0" w:leftChars="0" w:right="0" w:rightChars="0" w:firstLine="640" w:firstLineChars="200"/>
        <w:textAlignment w:val="auto"/>
        <w:outlineLvl w:val="9"/>
        <w:rPr>
          <w:rFonts w:hint="eastAsia" w:ascii="仿宋_GB2312" w:eastAsia="仿宋_GB2312"/>
          <w:color w:val="auto"/>
          <w:sz w:val="32"/>
          <w:szCs w:val="32"/>
          <w:u w:val="none"/>
          <w:shd w:val="clear" w:color="auto" w:fill="auto"/>
        </w:rPr>
      </w:pPr>
      <w:r>
        <w:rPr>
          <w:rFonts w:hint="eastAsia" w:ascii="仿宋_GB2312" w:hAnsi="仿宋" w:eastAsia="仿宋_GB2312"/>
          <w:color w:val="auto"/>
          <w:sz w:val="32"/>
          <w:szCs w:val="32"/>
          <w:u w:val="none"/>
          <w:shd w:val="clear" w:color="auto" w:fill="auto"/>
        </w:rPr>
        <w:t>不按照规定的预算级次、预算科目将调节金缴入国库的；</w:t>
      </w:r>
    </w:p>
    <w:p>
      <w:pPr>
        <w:keepNext w:val="0"/>
        <w:keepLines w:val="0"/>
        <w:pageBreakBefore w:val="0"/>
        <w:widowControl w:val="0"/>
        <w:numPr>
          <w:ilvl w:val="0"/>
          <w:numId w:val="1"/>
        </w:numPr>
        <w:tabs>
          <w:tab w:val="left" w:pos="1620"/>
        </w:tabs>
        <w:kinsoku/>
        <w:wordWrap/>
        <w:overflowPunct/>
        <w:topLinePunct w:val="0"/>
        <w:autoSpaceDE/>
        <w:bidi w:val="0"/>
        <w:adjustRightInd/>
        <w:snapToGrid/>
        <w:spacing w:beforeLines="0" w:line="560" w:lineRule="exact"/>
        <w:ind w:left="0" w:leftChars="0" w:right="0" w:rightChars="0" w:firstLine="640" w:firstLineChars="200"/>
        <w:textAlignment w:val="auto"/>
        <w:outlineLvl w:val="9"/>
        <w:rPr>
          <w:rFonts w:hint="eastAsia" w:ascii="仿宋_GB2312" w:eastAsia="仿宋_GB2312"/>
          <w:color w:val="auto"/>
          <w:sz w:val="32"/>
          <w:szCs w:val="32"/>
          <w:u w:val="none"/>
          <w:shd w:val="clear" w:color="auto" w:fill="auto"/>
        </w:rPr>
      </w:pPr>
      <w:r>
        <w:rPr>
          <w:rFonts w:hint="eastAsia" w:ascii="仿宋_GB2312" w:hAnsi="仿宋" w:eastAsia="仿宋_GB2312"/>
          <w:color w:val="auto"/>
          <w:sz w:val="32"/>
          <w:szCs w:val="32"/>
          <w:u w:val="none"/>
          <w:shd w:val="clear" w:color="auto" w:fill="auto"/>
        </w:rPr>
        <w:t>其他违反国家财政收入管理规定的行为。</w:t>
      </w:r>
    </w:p>
    <w:p>
      <w:pPr>
        <w:keepNext w:val="0"/>
        <w:keepLines w:val="0"/>
        <w:pageBreakBefore w:val="0"/>
        <w:widowControl w:val="0"/>
        <w:kinsoku/>
        <w:wordWrap/>
        <w:overflowPunct/>
        <w:topLinePunct w:val="0"/>
        <w:autoSpaceDE/>
        <w:bidi w:val="0"/>
        <w:adjustRightInd/>
        <w:snapToGrid/>
        <w:spacing w:beforeLines="0" w:line="560" w:lineRule="exact"/>
        <w:ind w:left="0" w:leftChars="0" w:right="0" w:rightChars="0" w:firstLine="640" w:firstLineChars="200"/>
        <w:textAlignment w:val="auto"/>
        <w:outlineLvl w:val="9"/>
        <w:rPr>
          <w:rFonts w:hint="eastAsia" w:ascii="仿宋_GB2312" w:eastAsia="仿宋_GB2312"/>
          <w:color w:val="auto"/>
          <w:sz w:val="32"/>
          <w:szCs w:val="32"/>
          <w:u w:val="none"/>
          <w:shd w:val="clear" w:color="auto" w:fill="auto"/>
        </w:rPr>
      </w:pPr>
      <w:r>
        <w:rPr>
          <w:rFonts w:hint="eastAsia" w:ascii="黑体" w:hAnsi="楷体" w:eastAsia="黑体"/>
          <w:color w:val="auto"/>
          <w:sz w:val="32"/>
          <w:szCs w:val="32"/>
          <w:u w:val="none"/>
          <w:shd w:val="clear" w:color="auto" w:fill="auto"/>
        </w:rPr>
        <w:t>第</w:t>
      </w:r>
      <w:r>
        <w:rPr>
          <w:rFonts w:hint="eastAsia" w:ascii="黑体" w:hAnsi="楷体" w:eastAsia="黑体"/>
          <w:color w:val="auto"/>
          <w:sz w:val="32"/>
          <w:szCs w:val="32"/>
          <w:u w:val="none"/>
          <w:shd w:val="clear" w:color="auto" w:fill="auto"/>
          <w:lang w:val="en-US" w:eastAsia="zh-CN"/>
        </w:rPr>
        <w:t>二十</w:t>
      </w:r>
      <w:r>
        <w:rPr>
          <w:rFonts w:hint="eastAsia" w:ascii="黑体" w:hAnsi="楷体" w:eastAsia="黑体"/>
          <w:color w:val="auto"/>
          <w:sz w:val="32"/>
          <w:szCs w:val="32"/>
          <w:u w:val="none"/>
          <w:shd w:val="clear" w:color="auto" w:fill="auto"/>
        </w:rPr>
        <w:t>条</w:t>
      </w:r>
      <w:r>
        <w:rPr>
          <w:rFonts w:hint="eastAsia" w:ascii="仿宋_GB2312" w:eastAsia="仿宋_GB2312"/>
          <w:color w:val="auto"/>
          <w:sz w:val="32"/>
          <w:szCs w:val="32"/>
          <w:u w:val="none"/>
          <w:shd w:val="clear" w:color="auto" w:fill="auto"/>
        </w:rPr>
        <w:t xml:space="preserve">  </w:t>
      </w:r>
      <w:r>
        <w:rPr>
          <w:rFonts w:hint="eastAsia" w:ascii="仿宋_GB2312" w:hAnsi="仿宋" w:eastAsia="仿宋_GB2312"/>
          <w:color w:val="auto"/>
          <w:sz w:val="32"/>
          <w:szCs w:val="32"/>
          <w:u w:val="none"/>
          <w:shd w:val="clear" w:color="auto" w:fill="auto"/>
        </w:rPr>
        <w:t>调节金征收、使用管理有关部门的工作人员违反本规定，在调节金征收和使用管理工作中徇私舞弊、玩忽职守、滥用职权的，依法给予处分；涉嫌犯罪的，依法移送司法机关。</w:t>
      </w:r>
    </w:p>
    <w:p>
      <w:pPr>
        <w:keepNext w:val="0"/>
        <w:keepLines w:val="0"/>
        <w:pageBreakBefore w:val="0"/>
        <w:widowControl w:val="0"/>
        <w:kinsoku/>
        <w:wordWrap/>
        <w:overflowPunct/>
        <w:topLinePunct w:val="0"/>
        <w:autoSpaceDE/>
        <w:bidi w:val="0"/>
        <w:adjustRightInd/>
        <w:snapToGrid/>
        <w:spacing w:beforeLines="0" w:line="560" w:lineRule="exact"/>
        <w:ind w:right="0" w:rightChars="0"/>
        <w:jc w:val="center"/>
        <w:textAlignment w:val="auto"/>
        <w:outlineLvl w:val="9"/>
        <w:rPr>
          <w:rFonts w:hint="eastAsia" w:ascii="黑体" w:hAnsi="楷体" w:eastAsia="黑体"/>
          <w:color w:val="auto"/>
          <w:sz w:val="32"/>
          <w:szCs w:val="32"/>
          <w:u w:val="none"/>
          <w:shd w:val="clear" w:color="auto" w:fill="auto"/>
          <w:lang w:eastAsia="zh-CN"/>
        </w:rPr>
      </w:pPr>
      <w:r>
        <w:rPr>
          <w:rFonts w:hint="eastAsia" w:ascii="黑体" w:hAnsi="楷体" w:eastAsia="黑体"/>
          <w:color w:val="auto"/>
          <w:sz w:val="32"/>
          <w:szCs w:val="32"/>
          <w:u w:val="none"/>
          <w:shd w:val="clear" w:color="auto" w:fill="auto"/>
          <w:lang w:eastAsia="zh-CN"/>
        </w:rPr>
        <w:t>第七章</w:t>
      </w:r>
      <w:r>
        <w:rPr>
          <w:rFonts w:hint="eastAsia" w:ascii="黑体" w:hAnsi="楷体" w:eastAsia="黑体"/>
          <w:color w:val="auto"/>
          <w:sz w:val="32"/>
          <w:szCs w:val="32"/>
          <w:u w:val="none"/>
          <w:shd w:val="clear" w:color="auto" w:fill="auto"/>
          <w:lang w:val="en-US" w:eastAsia="zh-CN"/>
        </w:rPr>
        <w:t xml:space="preserve"> 附则</w:t>
      </w:r>
    </w:p>
    <w:p>
      <w:pPr>
        <w:keepNext w:val="0"/>
        <w:keepLines w:val="0"/>
        <w:pageBreakBefore w:val="0"/>
        <w:widowControl w:val="0"/>
        <w:kinsoku/>
        <w:wordWrap/>
        <w:overflowPunct/>
        <w:topLinePunct w:val="0"/>
        <w:autoSpaceDE/>
        <w:bidi w:val="0"/>
        <w:adjustRightInd/>
        <w:snapToGrid/>
        <w:spacing w:beforeLines="0" w:line="560" w:lineRule="exact"/>
        <w:ind w:left="0" w:leftChars="0" w:right="0" w:rightChars="0" w:firstLine="640" w:firstLineChars="200"/>
        <w:textAlignment w:val="auto"/>
        <w:outlineLvl w:val="9"/>
        <w:rPr>
          <w:rFonts w:hint="eastAsia" w:ascii="仿宋_GB2312" w:eastAsia="仿宋_GB2312"/>
          <w:color w:val="auto"/>
          <w:sz w:val="32"/>
          <w:szCs w:val="32"/>
          <w:u w:val="none"/>
          <w:shd w:val="clear" w:color="auto" w:fill="auto"/>
        </w:rPr>
      </w:pPr>
      <w:r>
        <w:rPr>
          <w:rFonts w:hint="eastAsia" w:ascii="黑体" w:hAnsi="楷体" w:eastAsia="黑体"/>
          <w:color w:val="auto"/>
          <w:sz w:val="32"/>
          <w:szCs w:val="32"/>
          <w:u w:val="none"/>
          <w:shd w:val="clear" w:color="auto" w:fill="auto"/>
        </w:rPr>
        <w:t>第</w:t>
      </w:r>
      <w:r>
        <w:rPr>
          <w:rFonts w:hint="eastAsia" w:ascii="黑体" w:hAnsi="楷体" w:eastAsia="黑体"/>
          <w:color w:val="auto"/>
          <w:sz w:val="32"/>
          <w:szCs w:val="32"/>
          <w:u w:val="none"/>
          <w:shd w:val="clear" w:color="auto" w:fill="auto"/>
          <w:lang w:eastAsia="zh-CN"/>
        </w:rPr>
        <w:t>二十</w:t>
      </w:r>
      <w:r>
        <w:rPr>
          <w:rFonts w:hint="eastAsia" w:ascii="黑体" w:hAnsi="楷体" w:eastAsia="黑体"/>
          <w:color w:val="auto"/>
          <w:sz w:val="32"/>
          <w:szCs w:val="32"/>
          <w:u w:val="none"/>
          <w:shd w:val="clear" w:color="auto" w:fill="auto"/>
          <w:lang w:val="en-US" w:eastAsia="zh-CN"/>
        </w:rPr>
        <w:t>一</w:t>
      </w:r>
      <w:r>
        <w:rPr>
          <w:rFonts w:hint="eastAsia" w:ascii="黑体" w:hAnsi="楷体" w:eastAsia="黑体"/>
          <w:color w:val="auto"/>
          <w:sz w:val="32"/>
          <w:szCs w:val="32"/>
          <w:u w:val="none"/>
          <w:shd w:val="clear" w:color="auto" w:fill="auto"/>
        </w:rPr>
        <w:t>条</w:t>
      </w:r>
      <w:r>
        <w:rPr>
          <w:rFonts w:hint="eastAsia" w:ascii="仿宋_GB2312" w:eastAsia="仿宋_GB2312"/>
          <w:color w:val="auto"/>
          <w:sz w:val="32"/>
          <w:szCs w:val="32"/>
          <w:u w:val="none"/>
          <w:shd w:val="clear" w:color="auto" w:fill="auto"/>
        </w:rPr>
        <w:t xml:space="preserve">  </w:t>
      </w:r>
      <w:r>
        <w:rPr>
          <w:rFonts w:hint="eastAsia" w:ascii="仿宋_GB2312" w:hAnsi="仿宋" w:eastAsia="仿宋_GB2312"/>
          <w:color w:val="auto"/>
          <w:sz w:val="32"/>
          <w:szCs w:val="32"/>
          <w:u w:val="none"/>
          <w:shd w:val="clear" w:color="auto" w:fill="auto"/>
        </w:rPr>
        <w:t>本办法由</w:t>
      </w:r>
      <w:r>
        <w:rPr>
          <w:rFonts w:hint="eastAsia" w:ascii="仿宋_GB2312" w:hAnsi="仿宋" w:eastAsia="仿宋_GB2312"/>
          <w:color w:val="auto"/>
          <w:sz w:val="32"/>
          <w:szCs w:val="32"/>
          <w:u w:val="none"/>
          <w:shd w:val="clear" w:color="auto" w:fill="auto"/>
          <w:lang w:eastAsia="zh-CN"/>
        </w:rPr>
        <w:t>区规自分局、区财政局、区集地中心结合工作职责进行</w:t>
      </w:r>
      <w:r>
        <w:rPr>
          <w:rFonts w:hint="eastAsia" w:ascii="仿宋_GB2312" w:hAnsi="仿宋" w:eastAsia="仿宋_GB2312"/>
          <w:color w:val="auto"/>
          <w:sz w:val="32"/>
          <w:szCs w:val="32"/>
          <w:u w:val="none"/>
          <w:shd w:val="clear" w:color="auto" w:fill="auto"/>
        </w:rPr>
        <w:t>解释。</w:t>
      </w:r>
    </w:p>
    <w:p>
      <w:pPr>
        <w:pStyle w:val="7"/>
        <w:keepNext w:val="0"/>
        <w:keepLines w:val="0"/>
        <w:pageBreakBefore w:val="0"/>
        <w:widowControl w:val="0"/>
        <w:kinsoku/>
        <w:wordWrap/>
        <w:overflowPunct/>
        <w:topLinePunct w:val="0"/>
        <w:autoSpaceDE/>
        <w:bidi w:val="0"/>
        <w:adjustRightInd/>
        <w:snapToGrid/>
        <w:spacing w:beforeLines="0" w:line="560" w:lineRule="exact"/>
        <w:ind w:left="0" w:leftChars="0" w:firstLine="640" w:firstLineChars="200"/>
        <w:textAlignment w:val="auto"/>
        <w:rPr>
          <w:rFonts w:hint="default"/>
          <w:lang w:val="en-US" w:eastAsia="zh-CN"/>
        </w:rPr>
      </w:pPr>
      <w:r>
        <w:rPr>
          <w:rFonts w:hint="eastAsia" w:ascii="黑体" w:hAnsi="楷体" w:eastAsia="黑体"/>
          <w:color w:val="auto"/>
          <w:sz w:val="32"/>
          <w:szCs w:val="32"/>
          <w:u w:val="none"/>
          <w:shd w:val="clear" w:color="auto" w:fill="auto"/>
        </w:rPr>
        <w:t>第</w:t>
      </w:r>
      <w:r>
        <w:rPr>
          <w:rFonts w:hint="eastAsia" w:ascii="黑体" w:hAnsi="楷体" w:eastAsia="黑体"/>
          <w:color w:val="auto"/>
          <w:sz w:val="32"/>
          <w:szCs w:val="32"/>
          <w:u w:val="none"/>
          <w:shd w:val="clear" w:color="auto" w:fill="auto"/>
          <w:lang w:eastAsia="zh-CN"/>
        </w:rPr>
        <w:t>二十</w:t>
      </w:r>
      <w:r>
        <w:rPr>
          <w:rFonts w:hint="eastAsia" w:ascii="黑体" w:hAnsi="楷体" w:eastAsia="黑体"/>
          <w:color w:val="auto"/>
          <w:sz w:val="32"/>
          <w:szCs w:val="32"/>
          <w:u w:val="none"/>
          <w:shd w:val="clear" w:color="auto" w:fill="auto"/>
          <w:lang w:val="en-US" w:eastAsia="zh-CN"/>
        </w:rPr>
        <w:t>二</w:t>
      </w:r>
      <w:r>
        <w:rPr>
          <w:rFonts w:hint="eastAsia" w:ascii="黑体" w:hAnsi="楷体" w:eastAsia="黑体"/>
          <w:color w:val="auto"/>
          <w:sz w:val="32"/>
          <w:szCs w:val="32"/>
          <w:u w:val="none"/>
          <w:shd w:val="clear" w:color="auto" w:fill="auto"/>
        </w:rPr>
        <w:t>条</w:t>
      </w:r>
      <w:r>
        <w:rPr>
          <w:rFonts w:hint="eastAsia" w:ascii="仿宋_GB2312" w:eastAsia="仿宋_GB2312"/>
          <w:color w:val="auto"/>
          <w:sz w:val="32"/>
          <w:szCs w:val="32"/>
          <w:u w:val="none"/>
          <w:shd w:val="clear" w:color="auto" w:fill="auto"/>
        </w:rPr>
        <w:t xml:space="preserve">  </w:t>
      </w:r>
      <w:r>
        <w:rPr>
          <w:rFonts w:hint="eastAsia" w:ascii="仿宋_GB2312" w:hAnsi="仿宋" w:eastAsia="仿宋_GB2312"/>
          <w:color w:val="auto"/>
          <w:sz w:val="32"/>
          <w:szCs w:val="32"/>
          <w:u w:val="none"/>
          <w:shd w:val="clear" w:color="auto" w:fill="auto"/>
        </w:rPr>
        <w:t>本办法自发布之日起执行</w:t>
      </w:r>
      <w:r>
        <w:rPr>
          <w:rFonts w:hint="eastAsia" w:ascii="仿宋_GB2312" w:hAnsi="仿宋" w:eastAsia="仿宋_GB2312"/>
          <w:color w:val="auto"/>
          <w:sz w:val="32"/>
          <w:szCs w:val="32"/>
          <w:u w:val="none"/>
          <w:shd w:val="clear" w:color="auto" w:fill="auto"/>
          <w:lang w:eastAsia="zh-CN"/>
        </w:rPr>
        <w:t>，若后期新出台涉及集建地调节金相关政策，按照新出台政策执行。同时，《大兴区农村集体经营性建设用地入市土地增值收益调节金征收使用管理办法》（</w:t>
      </w:r>
      <w:r>
        <w:rPr>
          <w:rFonts w:hint="eastAsia" w:ascii="仿宋_GB2312" w:hAnsi="仿宋" w:eastAsia="仿宋_GB2312"/>
          <w:color w:val="auto"/>
          <w:sz w:val="32"/>
          <w:szCs w:val="32"/>
          <w:u w:val="none"/>
          <w:shd w:val="clear" w:color="auto" w:fill="auto"/>
          <w:lang w:val="en-US" w:eastAsia="zh-CN"/>
        </w:rPr>
        <w:t>京兴政办发〔2017〕64号）及《关于大兴区农村集体经营性建设用地入市土地增值收益调节金征收使用管理办法的补充通知》（京兴政办发〔2018〕75号）废止</w:t>
      </w:r>
      <w:r>
        <w:rPr>
          <w:rFonts w:hint="eastAsia" w:ascii="仿宋_GB2312" w:hAnsi="仿宋" w:eastAsia="仿宋_GB2312"/>
          <w:color w:val="auto"/>
          <w:sz w:val="32"/>
          <w:szCs w:val="32"/>
          <w:u w:val="none"/>
          <w:shd w:val="clear" w:color="auto" w:fill="auto"/>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2000000000000000000"/>
    <w:charset w:val="00"/>
    <w:family w:val="script"/>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81556"/>
    <w:multiLevelType w:val="multilevel"/>
    <w:tmpl w:val="1D381556"/>
    <w:lvl w:ilvl="0" w:tentative="0">
      <w:start w:val="1"/>
      <w:numFmt w:val="japaneseCounting"/>
      <w:lvlText w:val="（%1）"/>
      <w:lvlJc w:val="left"/>
      <w:pPr>
        <w:tabs>
          <w:tab w:val="left" w:pos="2230"/>
        </w:tabs>
        <w:ind w:left="2230" w:hanging="159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A2440C"/>
    <w:rsid w:val="7AA24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spacing w:before="100" w:beforeLines="0" w:beforeAutospacing="1"/>
      <w:jc w:val="center"/>
    </w:pPr>
    <w:rPr>
      <w:rFonts w:ascii="Calibri" w:hAnsi="Calibri" w:eastAsia="宋体" w:cs="Times New Roman"/>
      <w:snapToGrid/>
      <w:kern w:val="0"/>
      <w:sz w:val="24"/>
      <w:szCs w:val="24"/>
      <w:lang w:val="en-US" w:eastAsia="zh-CN" w:bidi="ar-SA"/>
    </w:rPr>
  </w:style>
  <w:style w:type="character" w:styleId="5">
    <w:name w:val="Strong"/>
    <w:qFormat/>
    <w:uiPriority w:val="0"/>
    <w:rPr>
      <w:b/>
    </w:rPr>
  </w:style>
  <w:style w:type="paragraph" w:customStyle="1" w:styleId="6">
    <w:name w:val="BodyText1I2"/>
    <w:next w:val="7"/>
    <w:qFormat/>
    <w:uiPriority w:val="0"/>
    <w:pPr>
      <w:widowControl w:val="0"/>
      <w:spacing w:after="120" w:line="600" w:lineRule="exact"/>
      <w:ind w:left="420" w:leftChars="200" w:firstLine="420"/>
      <w:jc w:val="both"/>
    </w:pPr>
    <w:rPr>
      <w:rFonts w:ascii="Times New Roman" w:hAnsi="Calibri" w:eastAsia="方正仿宋简体" w:cs="Times New Roman"/>
      <w:kern w:val="2"/>
      <w:sz w:val="32"/>
      <w:szCs w:val="24"/>
      <w:lang w:val="en-US" w:eastAsia="zh-CN" w:bidi="ar-SA"/>
    </w:rPr>
  </w:style>
  <w:style w:type="paragraph" w:customStyle="1" w:styleId="7">
    <w:name w:val="BodyText1I"/>
    <w:next w:val="6"/>
    <w:qFormat/>
    <w:uiPriority w:val="0"/>
    <w:pPr>
      <w:widowControl w:val="0"/>
      <w:ind w:firstLine="42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2026-03-10T08:58:00Z</dcterms:created>
  <dc:creator> </dc:creator>
  <cp:lastModifiedBy> </cp:lastModifiedBy>
  <dcterms:modified xsi:type="dcterms:W3CDTF">2026-03-10T08:59:18Z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DCA08ADA584F6162B26CAF69BB016543</vt:lpwstr>
  </property>
</Properties>
</file>