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1C31C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大兴区扬尘污染管控问题整改清单</w:t>
      </w:r>
    </w:p>
    <w:p w14:paraId="588EF694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月)</w:t>
      </w:r>
    </w:p>
    <w:p w14:paraId="18186FC2">
      <w:pPr>
        <w:ind w:firstLine="760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</w:p>
    <w:p w14:paraId="2C0D79B8">
      <w:pPr>
        <w:ind w:firstLine="760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为深入推进污染防治攻坚战，持续深化一微克行动，加强工地精细化管理，严控施工扬尘污染，按照大兴区政府《大兴区打赢蓝天保卫战三年行动计划》，大兴区生态环境督查事务中心联合大兴区城管执法局启动联动机制，进一步加强施工现场扬尘治理工作，对施工现场扬尘治理失信责任主体采取惩戒措施，按照大兴区扬尘管控方案，区生态环境督查事务中心对部分重点案件进行公开公示。</w:t>
      </w:r>
    </w:p>
    <w:p w14:paraId="78FE94EC">
      <w:pPr>
        <w:ind w:firstLine="760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月，区生态环境督查事务中心扬尘管控共计公开4个案件，其中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林校路街道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1个，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兴丰街道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1个，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亦庄镇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1个，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采育镇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1个。</w:t>
      </w:r>
    </w:p>
    <w:p w14:paraId="69D262AA">
      <w:pPr>
        <w:ind w:firstLine="763" w:firstLineChars="200"/>
        <w:rPr>
          <w:rFonts w:ascii="仿宋_GB2312" w:hAnsi="仿宋_GB2312" w:eastAsia="仿宋_GB2312" w:cs="仿宋_GB2312"/>
          <w:b/>
          <w:bCs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val="en-US" w:eastAsia="zh-CN"/>
        </w:rPr>
        <w:t>林校路街道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val="en-US" w:eastAsia="zh-CN"/>
        </w:rPr>
        <w:t>北京亿升金恒建筑工程有限公司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）</w:t>
      </w:r>
    </w:p>
    <w:p w14:paraId="346DCE1F">
      <w:pPr>
        <w:ind w:firstLine="760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检查时发现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施工单位未采取有效防尘降尘措施。</w:t>
      </w:r>
    </w:p>
    <w:p w14:paraId="70279B8D">
      <w:pPr>
        <w:ind w:firstLine="760" w:firstLineChars="200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针对大兴区黄村镇兴业南路5、11号棚改定向安置房项目燃气热力工程。城管执法局已立案调查，并进行处罚，罚款人民币10000元，处罚决定书号：京大林校路街道罚字﹝2025﹞108号。</w:t>
      </w:r>
    </w:p>
    <w:p w14:paraId="4184C01B">
      <w:pPr>
        <w:ind w:firstLine="763" w:firstLineChars="200"/>
        <w:rPr>
          <w:rFonts w:ascii="仿宋_GB2312" w:hAnsi="仿宋_GB2312" w:eastAsia="仿宋_GB2312" w:cs="仿宋_GB2312"/>
          <w:b/>
          <w:bCs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val="en-US" w:eastAsia="zh-CN"/>
        </w:rPr>
        <w:t>兴丰街道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val="en-US" w:eastAsia="zh-CN"/>
        </w:rPr>
        <w:t>北京方氏工程机械设备租赁有限公司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）</w:t>
      </w:r>
    </w:p>
    <w:p w14:paraId="4C5DCF8C">
      <w:pPr>
        <w:ind w:firstLine="760" w:firstLineChars="200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检查时发现：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施工单位未采取有效防尘降尘措施。</w:t>
      </w:r>
    </w:p>
    <w:p w14:paraId="237FDC60">
      <w:pPr>
        <w:ind w:firstLine="760" w:firstLineChars="200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针对大兴新城排水管网完善一期工程的问题。城管执法局已立案调查，并进行处罚，罚款人民币20000元，处罚决定书号：京大兴丰街道罚字﹝2025﹞0040号。</w:t>
      </w:r>
    </w:p>
    <w:p w14:paraId="7F5EEFFF">
      <w:pPr>
        <w:ind w:firstLine="763" w:firstLineChars="200"/>
        <w:rPr>
          <w:rFonts w:ascii="仿宋_GB2312" w:hAnsi="仿宋_GB2312" w:eastAsia="仿宋_GB2312" w:cs="仿宋_GB2312"/>
          <w:b/>
          <w:bCs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eastAsia="zh-CN"/>
        </w:rPr>
        <w:t>亦庄镇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val="en-US" w:eastAsia="zh-CN"/>
        </w:rPr>
        <w:t>北京盛华兰天装饰工程有限公司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）</w:t>
      </w:r>
    </w:p>
    <w:p w14:paraId="01484C9B">
      <w:pPr>
        <w:ind w:firstLine="760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检查时发现：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施工单位未采取有效防尘降尘措施。</w:t>
      </w:r>
    </w:p>
    <w:p w14:paraId="025FDD45">
      <w:pPr>
        <w:ind w:firstLine="760" w:firstLineChars="200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针对北京经济技术开发区第二小学扩建工程的问题。城管执法局已立案调查，并进行处罚，罚款人民币30000元，处罚决定书号：京大亦庄镇罚字﹝2025﹞019号。</w:t>
      </w:r>
    </w:p>
    <w:p w14:paraId="59E17EF7">
      <w:pPr>
        <w:ind w:firstLine="763" w:firstLineChars="200"/>
        <w:rPr>
          <w:rFonts w:ascii="仿宋_GB2312" w:hAnsi="仿宋_GB2312" w:eastAsia="仿宋_GB2312" w:cs="仿宋_GB2312"/>
          <w:b/>
          <w:bCs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eastAsia="zh-CN"/>
        </w:rPr>
        <w:t>采育镇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  <w:lang w:val="en-US" w:eastAsia="zh-CN"/>
        </w:rPr>
        <w:t>北京宏建工程机械租赁有限公司</w:t>
      </w: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）</w:t>
      </w:r>
    </w:p>
    <w:p w14:paraId="25F4D08E">
      <w:pPr>
        <w:ind w:firstLine="760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检查时发现：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施工现场土方未集中堆放或者未采取覆盖、固化措施。</w:t>
      </w:r>
    </w:p>
    <w:p w14:paraId="4FA79837">
      <w:pPr>
        <w:ind w:firstLine="760" w:firstLineChars="200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针对北京宏建工程机械租赁有限公司的问题。城管执法局已立案调查，并进行处罚，罚款人民币30000元，处罚决定书号：京大采育镇罚字﹝2025﹞141号。</w:t>
      </w:r>
      <w:bookmarkStart w:id="0" w:name="_GoBack"/>
      <w:bookmarkEnd w:id="0"/>
    </w:p>
    <w:p w14:paraId="1E21D8EE">
      <w:pPr>
        <w:ind w:firstLine="763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区生态环境督查事务中心将持续跟踪问题整改进展情况，严格落实五步督查督导机制，加大督查力度，确保各项问题按期完成整改。</w:t>
      </w:r>
    </w:p>
    <w:p w14:paraId="0A9D9251">
      <w:pPr>
        <w:ind w:firstLine="760" w:firstLineChars="200"/>
        <w:rPr>
          <w:rFonts w:ascii="仿宋_GB2312" w:hAnsi="仿宋_GB2312" w:eastAsia="仿宋_GB2312" w:cs="仿宋_GB2312"/>
          <w:spacing w:val="30"/>
          <w:sz w:val="32"/>
          <w:szCs w:val="32"/>
        </w:rPr>
      </w:pPr>
    </w:p>
    <w:p w14:paraId="2D40AC8C">
      <w:pPr>
        <w:ind w:firstLine="760" w:firstLineChars="200"/>
        <w:jc w:val="center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 xml:space="preserve">                    督查事务中心</w:t>
      </w:r>
    </w:p>
    <w:p w14:paraId="441C1878">
      <w:pPr>
        <w:ind w:firstLine="760" w:firstLineChars="200"/>
        <w:jc w:val="right"/>
        <w:rPr>
          <w:rFonts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MGZmYTZmMTIzMjkwN2RiZDhjMzUxNDZjZjA2YmIifQ=="/>
  </w:docVars>
  <w:rsids>
    <w:rsidRoot w:val="3CDB132A"/>
    <w:rsid w:val="00613120"/>
    <w:rsid w:val="006A1835"/>
    <w:rsid w:val="007835E3"/>
    <w:rsid w:val="007C0E6A"/>
    <w:rsid w:val="00853E79"/>
    <w:rsid w:val="008F1E74"/>
    <w:rsid w:val="00B8152E"/>
    <w:rsid w:val="00B81AD1"/>
    <w:rsid w:val="00B854F5"/>
    <w:rsid w:val="00C357EE"/>
    <w:rsid w:val="00E5389F"/>
    <w:rsid w:val="00F016A5"/>
    <w:rsid w:val="00F64AFC"/>
    <w:rsid w:val="07984F9F"/>
    <w:rsid w:val="0B742DAE"/>
    <w:rsid w:val="117D7634"/>
    <w:rsid w:val="1FE83AAC"/>
    <w:rsid w:val="207D000A"/>
    <w:rsid w:val="22A14526"/>
    <w:rsid w:val="269208BB"/>
    <w:rsid w:val="272F0B86"/>
    <w:rsid w:val="28332CBC"/>
    <w:rsid w:val="2C5D4410"/>
    <w:rsid w:val="32772D9D"/>
    <w:rsid w:val="327C031F"/>
    <w:rsid w:val="342E2D1F"/>
    <w:rsid w:val="354A0866"/>
    <w:rsid w:val="3CDB132A"/>
    <w:rsid w:val="58926BB5"/>
    <w:rsid w:val="5B9A077F"/>
    <w:rsid w:val="60912FDD"/>
    <w:rsid w:val="62B163FC"/>
    <w:rsid w:val="6C615D2A"/>
    <w:rsid w:val="702A7DD6"/>
    <w:rsid w:val="769E7045"/>
    <w:rsid w:val="77D90011"/>
    <w:rsid w:val="7E5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787</Words>
  <Characters>839</Characters>
  <Lines>6</Lines>
  <Paragraphs>1</Paragraphs>
  <TotalTime>5</TotalTime>
  <ScaleCrop>false</ScaleCrop>
  <LinksUpToDate>false</LinksUpToDate>
  <CharactersWithSpaces>859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2022-04-29T03:18:00Z</dcterms:created>
  <dc:creator>何江伟</dc:creator>
  <cp:lastModifiedBy>DCB</cp:lastModifiedBy>
  <dcterms:modified xsi:type="dcterms:W3CDTF">2025-12-29T06:23:03Z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8C6262A1844941B6A04E6FC307CA4DE5_13</vt:lpwstr>
  </property>
</Properties>
</file>