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600"/>
        <w:rPr>
          <w:sz w:val="28"/>
          <w:szCs w:val="28"/>
        </w:rPr>
      </w:pPr>
      <w:bookmarkStart w:id="0" w:name="_Toc286795553"/>
      <w:bookmarkStart w:id="166" w:name="_GoBack"/>
      <w:bookmarkEnd w:id="166"/>
    </w:p>
    <w:p>
      <w:pPr>
        <w:spacing w:line="480" w:lineRule="exact"/>
        <w:ind w:firstLine="600"/>
        <w:rPr>
          <w:sz w:val="24"/>
          <w:szCs w:val="24"/>
        </w:rPr>
      </w:pPr>
    </w:p>
    <w:p>
      <w:pPr>
        <w:spacing w:line="480" w:lineRule="exact"/>
        <w:ind w:firstLine="600"/>
        <w:rPr>
          <w:sz w:val="24"/>
          <w:szCs w:val="24"/>
        </w:rPr>
      </w:pPr>
    </w:p>
    <w:p>
      <w:pPr>
        <w:spacing w:line="480" w:lineRule="exact"/>
        <w:ind w:firstLine="600"/>
        <w:rPr>
          <w:sz w:val="28"/>
          <w:szCs w:val="28"/>
        </w:rPr>
      </w:pPr>
    </w:p>
    <w:p>
      <w:pPr>
        <w:spacing w:line="480" w:lineRule="exact"/>
        <w:ind w:firstLine="602"/>
        <w:rPr>
          <w:rFonts w:ascii="黑体" w:eastAsia="黑体"/>
          <w:b/>
          <w:sz w:val="28"/>
          <w:szCs w:val="28"/>
        </w:rPr>
      </w:pPr>
    </w:p>
    <w:p>
      <w:pPr>
        <w:jc w:val="center"/>
        <w:textAlignment w:val="baseline"/>
        <w:rPr>
          <w:rFonts w:ascii="黑体" w:eastAsia="黑体"/>
          <w:b/>
          <w:sz w:val="44"/>
          <w:szCs w:val="44"/>
        </w:rPr>
      </w:pPr>
      <w:r>
        <w:rPr>
          <w:rFonts w:hint="eastAsia" w:ascii="黑体" w:eastAsia="黑体"/>
          <w:b/>
          <w:sz w:val="44"/>
          <w:szCs w:val="44"/>
        </w:rPr>
        <w:t>庞各庄镇国民经济和社会发展</w:t>
      </w:r>
    </w:p>
    <w:p>
      <w:pPr>
        <w:jc w:val="center"/>
        <w:textAlignment w:val="baseline"/>
        <w:rPr>
          <w:rFonts w:ascii="黑体" w:eastAsia="黑体"/>
          <w:b/>
          <w:sz w:val="44"/>
          <w:szCs w:val="44"/>
        </w:rPr>
      </w:pPr>
      <w:r>
        <w:rPr>
          <w:rFonts w:hint="eastAsia" w:ascii="黑体" w:eastAsia="黑体"/>
          <w:b/>
          <w:sz w:val="44"/>
          <w:szCs w:val="44"/>
        </w:rPr>
        <w:t>第十三个五年规划纲要</w:t>
      </w:r>
    </w:p>
    <w:p>
      <w:pPr>
        <w:spacing w:line="480" w:lineRule="exact"/>
        <w:ind w:firstLine="602"/>
        <w:jc w:val="center"/>
        <w:rPr>
          <w:rFonts w:ascii="黑体" w:eastAsia="黑体"/>
          <w:b/>
          <w:sz w:val="28"/>
          <w:szCs w:val="28"/>
        </w:rPr>
      </w:pPr>
    </w:p>
    <w:p>
      <w:pPr>
        <w:spacing w:line="480" w:lineRule="exact"/>
        <w:ind w:firstLine="602"/>
        <w:jc w:val="center"/>
        <w:rPr>
          <w:rFonts w:ascii="黑体" w:eastAsia="黑体"/>
          <w:b/>
          <w:sz w:val="28"/>
          <w:szCs w:val="28"/>
        </w:rPr>
      </w:pPr>
    </w:p>
    <w:p>
      <w:pPr>
        <w:spacing w:line="480" w:lineRule="exact"/>
        <w:ind w:firstLine="602"/>
        <w:jc w:val="center"/>
        <w:rPr>
          <w:rFonts w:ascii="黑体" w:eastAsia="黑体"/>
          <w:b/>
          <w:sz w:val="28"/>
          <w:szCs w:val="28"/>
        </w:rPr>
      </w:pPr>
    </w:p>
    <w:p>
      <w:pPr>
        <w:spacing w:line="480" w:lineRule="exact"/>
        <w:ind w:firstLine="602"/>
        <w:jc w:val="center"/>
        <w:rPr>
          <w:rFonts w:ascii="黑体" w:eastAsia="黑体"/>
          <w:b/>
          <w:sz w:val="28"/>
          <w:szCs w:val="28"/>
        </w:rPr>
      </w:pPr>
    </w:p>
    <w:p>
      <w:pPr>
        <w:spacing w:line="480" w:lineRule="exact"/>
        <w:ind w:firstLine="602"/>
        <w:jc w:val="center"/>
        <w:rPr>
          <w:rFonts w:ascii="黑体" w:eastAsia="黑体"/>
          <w:b/>
          <w:sz w:val="28"/>
          <w:szCs w:val="28"/>
        </w:rPr>
      </w:pPr>
    </w:p>
    <w:p>
      <w:pPr>
        <w:spacing w:line="480" w:lineRule="exact"/>
        <w:ind w:firstLine="600"/>
        <w:jc w:val="center"/>
        <w:rPr>
          <w:sz w:val="28"/>
          <w:szCs w:val="28"/>
        </w:rPr>
      </w:pPr>
    </w:p>
    <w:p>
      <w:pPr>
        <w:ind w:firstLine="600"/>
        <w:textAlignment w:val="baseline"/>
        <w:rPr>
          <w:sz w:val="28"/>
          <w:szCs w:val="28"/>
        </w:rPr>
      </w:pPr>
    </w:p>
    <w:p>
      <w:pPr>
        <w:ind w:firstLine="600"/>
        <w:textAlignment w:val="baseline"/>
        <w:rPr>
          <w:sz w:val="28"/>
          <w:szCs w:val="28"/>
        </w:rPr>
      </w:pPr>
    </w:p>
    <w:p>
      <w:pPr>
        <w:ind w:firstLine="600"/>
        <w:textAlignment w:val="baseline"/>
        <w:rPr>
          <w:sz w:val="28"/>
          <w:szCs w:val="28"/>
        </w:rPr>
      </w:pPr>
    </w:p>
    <w:p>
      <w:pPr>
        <w:ind w:firstLine="600"/>
        <w:textAlignment w:val="baseline"/>
        <w:rPr>
          <w:sz w:val="28"/>
          <w:szCs w:val="28"/>
        </w:rPr>
      </w:pPr>
    </w:p>
    <w:p>
      <w:pPr>
        <w:ind w:firstLine="600"/>
        <w:textAlignment w:val="baseline"/>
        <w:rPr>
          <w:sz w:val="28"/>
          <w:szCs w:val="28"/>
        </w:rPr>
      </w:pPr>
    </w:p>
    <w:p>
      <w:pPr>
        <w:ind w:firstLine="600"/>
        <w:textAlignment w:val="baseline"/>
        <w:rPr>
          <w:sz w:val="28"/>
          <w:szCs w:val="28"/>
        </w:rPr>
      </w:pPr>
    </w:p>
    <w:p>
      <w:pPr>
        <w:ind w:firstLine="600"/>
        <w:textAlignment w:val="baseline"/>
        <w:rPr>
          <w:sz w:val="28"/>
          <w:szCs w:val="28"/>
        </w:rPr>
      </w:pPr>
    </w:p>
    <w:p>
      <w:pPr>
        <w:ind w:firstLine="600"/>
        <w:textAlignment w:val="baseline"/>
        <w:rPr>
          <w:sz w:val="28"/>
          <w:szCs w:val="28"/>
        </w:rPr>
      </w:pPr>
    </w:p>
    <w:p>
      <w:pPr>
        <w:ind w:firstLine="600"/>
        <w:textAlignment w:val="baseline"/>
        <w:rPr>
          <w:sz w:val="28"/>
          <w:szCs w:val="28"/>
        </w:rPr>
      </w:pPr>
    </w:p>
    <w:p>
      <w:pPr>
        <w:ind w:firstLine="600"/>
        <w:textAlignment w:val="baseline"/>
        <w:rPr>
          <w:sz w:val="28"/>
          <w:szCs w:val="28"/>
        </w:rPr>
      </w:pPr>
    </w:p>
    <w:p>
      <w:pPr>
        <w:ind w:firstLine="600"/>
        <w:textAlignment w:val="baseline"/>
        <w:rPr>
          <w:sz w:val="28"/>
          <w:szCs w:val="28"/>
        </w:rPr>
      </w:pPr>
    </w:p>
    <w:p>
      <w:pPr>
        <w:ind w:firstLine="600"/>
        <w:textAlignment w:val="baseline"/>
        <w:rPr>
          <w:sz w:val="28"/>
          <w:szCs w:val="28"/>
        </w:rPr>
      </w:pPr>
    </w:p>
    <w:p>
      <w:pPr>
        <w:jc w:val="center"/>
        <w:textAlignment w:val="baseline"/>
        <w:rPr>
          <w:rFonts w:ascii="黑体" w:eastAsia="黑体"/>
          <w:sz w:val="30"/>
          <w:szCs w:val="30"/>
        </w:rPr>
      </w:pPr>
      <w:r>
        <w:rPr>
          <w:rFonts w:hint="eastAsia" w:ascii="黑体" w:eastAsia="黑体"/>
          <w:sz w:val="30"/>
          <w:szCs w:val="30"/>
        </w:rPr>
        <w:t>庞各庄镇人民政府</w:t>
      </w:r>
    </w:p>
    <w:p>
      <w:pPr>
        <w:jc w:val="center"/>
        <w:textAlignment w:val="baseline"/>
        <w:rPr>
          <w:rFonts w:ascii="黑体" w:eastAsia="黑体"/>
          <w:sz w:val="30"/>
          <w:szCs w:val="30"/>
        </w:rPr>
      </w:pPr>
      <w:r>
        <w:rPr>
          <w:rFonts w:hint="eastAsia" w:ascii="黑体" w:eastAsia="黑体"/>
          <w:sz w:val="30"/>
          <w:szCs w:val="30"/>
        </w:rPr>
        <w:t>二</w:t>
      </w:r>
      <w:r>
        <w:rPr>
          <w:rFonts w:hint="eastAsia" w:ascii="黑体" w:hAnsi="黑体" w:eastAsia="黑体"/>
          <w:sz w:val="30"/>
          <w:szCs w:val="30"/>
        </w:rPr>
        <w:t>○</w:t>
      </w:r>
      <w:r>
        <w:rPr>
          <w:rFonts w:hint="eastAsia" w:ascii="黑体" w:eastAsia="黑体"/>
          <w:sz w:val="30"/>
          <w:szCs w:val="30"/>
        </w:rPr>
        <w:t>一六年九月</w:t>
      </w:r>
    </w:p>
    <w:p>
      <w:pPr>
        <w:spacing w:line="480" w:lineRule="exact"/>
        <w:ind w:firstLine="602"/>
        <w:jc w:val="center"/>
        <w:rPr>
          <w:rFonts w:ascii="黑体" w:eastAsia="黑体"/>
          <w:b/>
          <w:sz w:val="3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start="1"/>
          <w:cols w:space="720" w:num="1"/>
          <w:titlePg/>
          <w:docGrid w:type="lines" w:linePitch="381" w:charSpace="0"/>
        </w:sectPr>
      </w:pPr>
    </w:p>
    <w:p>
      <w:pPr>
        <w:spacing w:line="480" w:lineRule="exact"/>
        <w:ind w:firstLine="602"/>
        <w:jc w:val="center"/>
        <w:rPr>
          <w:rFonts w:ascii="黑体" w:eastAsia="黑体"/>
          <w:b/>
          <w:sz w:val="28"/>
          <w:szCs w:val="28"/>
        </w:rPr>
      </w:pPr>
    </w:p>
    <w:p>
      <w:pPr>
        <w:spacing w:line="480" w:lineRule="exact"/>
        <w:ind w:firstLine="602"/>
        <w:jc w:val="center"/>
        <w:rPr>
          <w:rFonts w:ascii="黑体" w:eastAsia="黑体"/>
          <w:b/>
          <w:sz w:val="36"/>
          <w:szCs w:val="36"/>
        </w:rPr>
      </w:pPr>
      <w:r>
        <w:rPr>
          <w:rFonts w:hint="eastAsia" w:ascii="黑体" w:eastAsia="黑体"/>
          <w:b/>
          <w:sz w:val="36"/>
          <w:szCs w:val="36"/>
        </w:rPr>
        <w:t xml:space="preserve">目 </w:t>
      </w:r>
      <w:r>
        <w:rPr>
          <w:rFonts w:ascii="黑体" w:eastAsia="黑体"/>
          <w:b/>
          <w:sz w:val="36"/>
          <w:szCs w:val="36"/>
        </w:rPr>
        <w:t xml:space="preserve"> </w:t>
      </w:r>
      <w:r>
        <w:rPr>
          <w:rFonts w:hint="eastAsia" w:ascii="黑体" w:eastAsia="黑体"/>
          <w:b/>
          <w:sz w:val="36"/>
          <w:szCs w:val="36"/>
        </w:rPr>
        <w:t>录</w:t>
      </w:r>
    </w:p>
    <w:p>
      <w:pPr>
        <w:spacing w:line="480" w:lineRule="exact"/>
        <w:ind w:firstLine="602"/>
        <w:jc w:val="center"/>
        <w:rPr>
          <w:rFonts w:ascii="黑体" w:eastAsia="黑体"/>
          <w:b/>
          <w:sz w:val="28"/>
          <w:szCs w:val="28"/>
        </w:rPr>
      </w:pPr>
    </w:p>
    <w:p>
      <w:pPr>
        <w:pStyle w:val="10"/>
        <w:rPr>
          <w:rFonts w:asciiTheme="minorHAnsi" w:hAnsiTheme="minorHAnsi" w:eastAsiaTheme="minorEastAsia" w:cstheme="minorBidi"/>
          <w:b w:val="0"/>
          <w:bCs w:val="0"/>
          <w:kern w:val="2"/>
        </w:rPr>
      </w:pPr>
      <w:r>
        <w:rPr>
          <w:rFonts w:ascii="黑体" w:eastAsia="黑体"/>
          <w:b w:val="0"/>
          <w:bCs w:val="0"/>
        </w:rPr>
        <w:fldChar w:fldCharType="begin"/>
      </w:r>
      <w:r>
        <w:rPr>
          <w:rFonts w:ascii="黑体" w:eastAsia="黑体"/>
          <w:b w:val="0"/>
          <w:bCs w:val="0"/>
        </w:rPr>
        <w:instrText xml:space="preserve"> TOC \o "1-2" \h \z \u </w:instrText>
      </w:r>
      <w:r>
        <w:rPr>
          <w:rFonts w:ascii="黑体" w:eastAsia="黑体"/>
          <w:b w:val="0"/>
          <w:bCs w:val="0"/>
        </w:rPr>
        <w:fldChar w:fldCharType="separate"/>
      </w:r>
      <w:r>
        <w:fldChar w:fldCharType="begin"/>
      </w:r>
      <w:r>
        <w:instrText xml:space="preserve"> HYPERLINK \l "_Toc460947511" </w:instrText>
      </w:r>
      <w:r>
        <w:fldChar w:fldCharType="separate"/>
      </w:r>
      <w:r>
        <w:rPr>
          <w:rStyle w:val="17"/>
        </w:rPr>
        <w:t>一、规划未来发展蓝图</w:t>
      </w:r>
      <w:r>
        <w:tab/>
      </w:r>
      <w:r>
        <w:fldChar w:fldCharType="begin"/>
      </w:r>
      <w:r>
        <w:instrText xml:space="preserve"> PAGEREF _Toc460947511 \h </w:instrText>
      </w:r>
      <w:r>
        <w:fldChar w:fldCharType="separate"/>
      </w:r>
      <w:r>
        <w:t>1</w:t>
      </w:r>
      <w:r>
        <w:fldChar w:fldCharType="end"/>
      </w:r>
      <w:r>
        <w:fldChar w:fldCharType="end"/>
      </w:r>
    </w:p>
    <w:p>
      <w:pPr>
        <w:pStyle w:val="11"/>
        <w:tabs>
          <w:tab w:val="right" w:leader="dot" w:pos="8296"/>
        </w:tabs>
        <w:rPr>
          <w:sz w:val="32"/>
          <w:szCs w:val="32"/>
        </w:rPr>
      </w:pPr>
      <w:r>
        <w:fldChar w:fldCharType="begin"/>
      </w:r>
      <w:r>
        <w:instrText xml:space="preserve"> HYPERLINK \l "_Toc460947512" </w:instrText>
      </w:r>
      <w:r>
        <w:fldChar w:fldCharType="separate"/>
      </w:r>
      <w:r>
        <w:rPr>
          <w:rStyle w:val="17"/>
          <w:sz w:val="32"/>
          <w:szCs w:val="32"/>
        </w:rPr>
        <w:t>（一）“十二五”期间发展成就显著</w:t>
      </w:r>
      <w:r>
        <w:rPr>
          <w:sz w:val="32"/>
          <w:szCs w:val="32"/>
        </w:rPr>
        <w:tab/>
      </w:r>
      <w:r>
        <w:rPr>
          <w:sz w:val="32"/>
          <w:szCs w:val="32"/>
        </w:rPr>
        <w:fldChar w:fldCharType="begin"/>
      </w:r>
      <w:r>
        <w:rPr>
          <w:sz w:val="32"/>
          <w:szCs w:val="32"/>
        </w:rPr>
        <w:instrText xml:space="preserve"> PAGEREF _Toc460947512 \h </w:instrText>
      </w:r>
      <w:r>
        <w:rPr>
          <w:sz w:val="32"/>
          <w:szCs w:val="32"/>
        </w:rPr>
        <w:fldChar w:fldCharType="separate"/>
      </w:r>
      <w:r>
        <w:rPr>
          <w:sz w:val="32"/>
          <w:szCs w:val="32"/>
        </w:rPr>
        <w:t>1</w:t>
      </w:r>
      <w:r>
        <w:rPr>
          <w:sz w:val="32"/>
          <w:szCs w:val="32"/>
        </w:rPr>
        <w:fldChar w:fldCharType="end"/>
      </w:r>
      <w:r>
        <w:rPr>
          <w:sz w:val="32"/>
          <w:szCs w:val="32"/>
        </w:rPr>
        <w:fldChar w:fldCharType="end"/>
      </w:r>
    </w:p>
    <w:p>
      <w:pPr>
        <w:pStyle w:val="11"/>
        <w:tabs>
          <w:tab w:val="right" w:leader="dot" w:pos="8296"/>
        </w:tabs>
        <w:rPr>
          <w:sz w:val="32"/>
          <w:szCs w:val="32"/>
        </w:rPr>
      </w:pPr>
      <w:r>
        <w:fldChar w:fldCharType="begin"/>
      </w:r>
      <w:r>
        <w:instrText xml:space="preserve"> HYPERLINK \l "_Toc460947513" </w:instrText>
      </w:r>
      <w:r>
        <w:fldChar w:fldCharType="separate"/>
      </w:r>
      <w:r>
        <w:rPr>
          <w:rStyle w:val="17"/>
          <w:sz w:val="32"/>
          <w:szCs w:val="32"/>
        </w:rPr>
        <w:t>（二）“十三五”时期面临重大发展机遇</w:t>
      </w:r>
      <w:r>
        <w:rPr>
          <w:sz w:val="32"/>
          <w:szCs w:val="32"/>
        </w:rPr>
        <w:tab/>
      </w:r>
      <w:r>
        <w:rPr>
          <w:sz w:val="32"/>
          <w:szCs w:val="32"/>
        </w:rPr>
        <w:fldChar w:fldCharType="begin"/>
      </w:r>
      <w:r>
        <w:rPr>
          <w:sz w:val="32"/>
          <w:szCs w:val="32"/>
        </w:rPr>
        <w:instrText xml:space="preserve"> PAGEREF _Toc460947513 \h </w:instrText>
      </w:r>
      <w:r>
        <w:rPr>
          <w:sz w:val="32"/>
          <w:szCs w:val="32"/>
        </w:rPr>
        <w:fldChar w:fldCharType="separate"/>
      </w:r>
      <w:r>
        <w:rPr>
          <w:sz w:val="32"/>
          <w:szCs w:val="32"/>
        </w:rPr>
        <w:t>4</w:t>
      </w:r>
      <w:r>
        <w:rPr>
          <w:sz w:val="32"/>
          <w:szCs w:val="32"/>
        </w:rPr>
        <w:fldChar w:fldCharType="end"/>
      </w:r>
      <w:r>
        <w:rPr>
          <w:sz w:val="32"/>
          <w:szCs w:val="32"/>
        </w:rPr>
        <w:fldChar w:fldCharType="end"/>
      </w:r>
    </w:p>
    <w:p>
      <w:pPr>
        <w:pStyle w:val="11"/>
        <w:tabs>
          <w:tab w:val="right" w:leader="dot" w:pos="8296"/>
        </w:tabs>
        <w:rPr>
          <w:sz w:val="32"/>
          <w:szCs w:val="32"/>
        </w:rPr>
      </w:pPr>
      <w:r>
        <w:fldChar w:fldCharType="begin"/>
      </w:r>
      <w:r>
        <w:instrText xml:space="preserve"> HYPERLINK \l "_Toc460947514" </w:instrText>
      </w:r>
      <w:r>
        <w:fldChar w:fldCharType="separate"/>
      </w:r>
      <w:r>
        <w:rPr>
          <w:rStyle w:val="17"/>
          <w:sz w:val="32"/>
          <w:szCs w:val="32"/>
        </w:rPr>
        <w:t>（三）“十三五”时期发展的总体思路</w:t>
      </w:r>
      <w:r>
        <w:rPr>
          <w:sz w:val="32"/>
          <w:szCs w:val="32"/>
        </w:rPr>
        <w:tab/>
      </w:r>
      <w:r>
        <w:rPr>
          <w:sz w:val="32"/>
          <w:szCs w:val="32"/>
        </w:rPr>
        <w:fldChar w:fldCharType="begin"/>
      </w:r>
      <w:r>
        <w:rPr>
          <w:sz w:val="32"/>
          <w:szCs w:val="32"/>
        </w:rPr>
        <w:instrText xml:space="preserve"> PAGEREF _Toc460947514 \h </w:instrText>
      </w:r>
      <w:r>
        <w:rPr>
          <w:sz w:val="32"/>
          <w:szCs w:val="32"/>
        </w:rPr>
        <w:fldChar w:fldCharType="separate"/>
      </w:r>
      <w:r>
        <w:rPr>
          <w:sz w:val="32"/>
          <w:szCs w:val="32"/>
        </w:rPr>
        <w:t>6</w:t>
      </w:r>
      <w:r>
        <w:rPr>
          <w:sz w:val="32"/>
          <w:szCs w:val="32"/>
        </w:rPr>
        <w:fldChar w:fldCharType="end"/>
      </w:r>
      <w:r>
        <w:rPr>
          <w:sz w:val="32"/>
          <w:szCs w:val="32"/>
        </w:rPr>
        <w:fldChar w:fldCharType="end"/>
      </w:r>
    </w:p>
    <w:p>
      <w:pPr>
        <w:pStyle w:val="10"/>
        <w:rPr>
          <w:rFonts w:asciiTheme="minorHAnsi" w:hAnsiTheme="minorHAnsi" w:eastAsiaTheme="minorEastAsia" w:cstheme="minorBidi"/>
          <w:b w:val="0"/>
          <w:bCs w:val="0"/>
          <w:kern w:val="2"/>
        </w:rPr>
      </w:pPr>
      <w:r>
        <w:fldChar w:fldCharType="begin"/>
      </w:r>
      <w:r>
        <w:instrText xml:space="preserve"> HYPERLINK \l "_Toc460947515" </w:instrText>
      </w:r>
      <w:r>
        <w:fldChar w:fldCharType="separate"/>
      </w:r>
      <w:r>
        <w:rPr>
          <w:rStyle w:val="17"/>
        </w:rPr>
        <w:t>二、推动产业升级增效</w:t>
      </w:r>
      <w:r>
        <w:tab/>
      </w:r>
      <w:r>
        <w:fldChar w:fldCharType="begin"/>
      </w:r>
      <w:r>
        <w:instrText xml:space="preserve"> PAGEREF _Toc460947515 \h </w:instrText>
      </w:r>
      <w:r>
        <w:fldChar w:fldCharType="separate"/>
      </w:r>
      <w:r>
        <w:t>12</w:t>
      </w:r>
      <w:r>
        <w:fldChar w:fldCharType="end"/>
      </w:r>
      <w:r>
        <w:fldChar w:fldCharType="end"/>
      </w:r>
    </w:p>
    <w:p>
      <w:pPr>
        <w:pStyle w:val="11"/>
        <w:tabs>
          <w:tab w:val="right" w:leader="dot" w:pos="8296"/>
        </w:tabs>
        <w:rPr>
          <w:sz w:val="32"/>
          <w:szCs w:val="32"/>
        </w:rPr>
      </w:pPr>
      <w:r>
        <w:fldChar w:fldCharType="begin"/>
      </w:r>
      <w:r>
        <w:instrText xml:space="preserve"> HYPERLINK \l "_Toc460947516" </w:instrText>
      </w:r>
      <w:r>
        <w:fldChar w:fldCharType="separate"/>
      </w:r>
      <w:r>
        <w:rPr>
          <w:rStyle w:val="17"/>
          <w:sz w:val="32"/>
          <w:szCs w:val="32"/>
        </w:rPr>
        <w:t>（一）优化产业发展空间布局</w:t>
      </w:r>
      <w:r>
        <w:rPr>
          <w:sz w:val="32"/>
          <w:szCs w:val="32"/>
        </w:rPr>
        <w:tab/>
      </w:r>
      <w:r>
        <w:rPr>
          <w:sz w:val="32"/>
          <w:szCs w:val="32"/>
        </w:rPr>
        <w:fldChar w:fldCharType="begin"/>
      </w:r>
      <w:r>
        <w:rPr>
          <w:sz w:val="32"/>
          <w:szCs w:val="32"/>
        </w:rPr>
        <w:instrText xml:space="preserve"> PAGEREF _Toc460947516 \h </w:instrText>
      </w:r>
      <w:r>
        <w:rPr>
          <w:sz w:val="32"/>
          <w:szCs w:val="32"/>
        </w:rPr>
        <w:fldChar w:fldCharType="separate"/>
      </w:r>
      <w:r>
        <w:rPr>
          <w:sz w:val="32"/>
          <w:szCs w:val="32"/>
        </w:rPr>
        <w:t>12</w:t>
      </w:r>
      <w:r>
        <w:rPr>
          <w:sz w:val="32"/>
          <w:szCs w:val="32"/>
        </w:rPr>
        <w:fldChar w:fldCharType="end"/>
      </w:r>
      <w:r>
        <w:rPr>
          <w:sz w:val="32"/>
          <w:szCs w:val="32"/>
        </w:rPr>
        <w:fldChar w:fldCharType="end"/>
      </w:r>
    </w:p>
    <w:p>
      <w:pPr>
        <w:pStyle w:val="11"/>
        <w:tabs>
          <w:tab w:val="right" w:leader="dot" w:pos="8296"/>
        </w:tabs>
        <w:rPr>
          <w:sz w:val="32"/>
          <w:szCs w:val="32"/>
        </w:rPr>
      </w:pPr>
      <w:r>
        <w:fldChar w:fldCharType="begin"/>
      </w:r>
      <w:r>
        <w:instrText xml:space="preserve"> HYPERLINK \l "_Toc460947517" </w:instrText>
      </w:r>
      <w:r>
        <w:fldChar w:fldCharType="separate"/>
      </w:r>
      <w:r>
        <w:rPr>
          <w:rStyle w:val="17"/>
          <w:sz w:val="32"/>
          <w:szCs w:val="32"/>
        </w:rPr>
        <w:t>（二）构建新型现代产业体系</w:t>
      </w:r>
      <w:r>
        <w:rPr>
          <w:sz w:val="32"/>
          <w:szCs w:val="32"/>
        </w:rPr>
        <w:tab/>
      </w:r>
      <w:r>
        <w:rPr>
          <w:sz w:val="32"/>
          <w:szCs w:val="32"/>
        </w:rPr>
        <w:fldChar w:fldCharType="begin"/>
      </w:r>
      <w:r>
        <w:rPr>
          <w:sz w:val="32"/>
          <w:szCs w:val="32"/>
        </w:rPr>
        <w:instrText xml:space="preserve"> PAGEREF _Toc460947517 \h </w:instrText>
      </w:r>
      <w:r>
        <w:rPr>
          <w:sz w:val="32"/>
          <w:szCs w:val="32"/>
        </w:rPr>
        <w:fldChar w:fldCharType="separate"/>
      </w:r>
      <w:r>
        <w:rPr>
          <w:sz w:val="32"/>
          <w:szCs w:val="32"/>
        </w:rPr>
        <w:t>14</w:t>
      </w:r>
      <w:r>
        <w:rPr>
          <w:sz w:val="32"/>
          <w:szCs w:val="32"/>
        </w:rPr>
        <w:fldChar w:fldCharType="end"/>
      </w:r>
      <w:r>
        <w:rPr>
          <w:sz w:val="32"/>
          <w:szCs w:val="32"/>
        </w:rPr>
        <w:fldChar w:fldCharType="end"/>
      </w:r>
    </w:p>
    <w:p>
      <w:pPr>
        <w:pStyle w:val="11"/>
        <w:tabs>
          <w:tab w:val="right" w:leader="dot" w:pos="8296"/>
        </w:tabs>
        <w:rPr>
          <w:sz w:val="32"/>
          <w:szCs w:val="32"/>
        </w:rPr>
      </w:pPr>
      <w:r>
        <w:fldChar w:fldCharType="begin"/>
      </w:r>
      <w:r>
        <w:instrText xml:space="preserve"> HYPERLINK \l "_Toc460947518" </w:instrText>
      </w:r>
      <w:r>
        <w:fldChar w:fldCharType="separate"/>
      </w:r>
      <w:r>
        <w:rPr>
          <w:rStyle w:val="17"/>
          <w:sz w:val="32"/>
          <w:szCs w:val="32"/>
        </w:rPr>
        <w:t>（三）加快工业区企业转型升级</w:t>
      </w:r>
      <w:r>
        <w:rPr>
          <w:sz w:val="32"/>
          <w:szCs w:val="32"/>
        </w:rPr>
        <w:tab/>
      </w:r>
      <w:r>
        <w:rPr>
          <w:sz w:val="32"/>
          <w:szCs w:val="32"/>
        </w:rPr>
        <w:fldChar w:fldCharType="begin"/>
      </w:r>
      <w:r>
        <w:rPr>
          <w:sz w:val="32"/>
          <w:szCs w:val="32"/>
        </w:rPr>
        <w:instrText xml:space="preserve"> PAGEREF _Toc460947518 \h </w:instrText>
      </w:r>
      <w:r>
        <w:rPr>
          <w:sz w:val="32"/>
          <w:szCs w:val="32"/>
        </w:rPr>
        <w:fldChar w:fldCharType="separate"/>
      </w:r>
      <w:r>
        <w:rPr>
          <w:sz w:val="32"/>
          <w:szCs w:val="32"/>
        </w:rPr>
        <w:t>19</w:t>
      </w:r>
      <w:r>
        <w:rPr>
          <w:sz w:val="32"/>
          <w:szCs w:val="32"/>
        </w:rPr>
        <w:fldChar w:fldCharType="end"/>
      </w:r>
      <w:r>
        <w:rPr>
          <w:sz w:val="32"/>
          <w:szCs w:val="32"/>
        </w:rPr>
        <w:fldChar w:fldCharType="end"/>
      </w:r>
    </w:p>
    <w:p>
      <w:pPr>
        <w:pStyle w:val="10"/>
        <w:rPr>
          <w:rFonts w:asciiTheme="minorHAnsi" w:hAnsiTheme="minorHAnsi" w:eastAsiaTheme="minorEastAsia" w:cstheme="minorBidi"/>
          <w:b w:val="0"/>
          <w:bCs w:val="0"/>
          <w:kern w:val="2"/>
        </w:rPr>
      </w:pPr>
      <w:r>
        <w:fldChar w:fldCharType="begin"/>
      </w:r>
      <w:r>
        <w:instrText xml:space="preserve"> HYPERLINK \l "_Toc460947519" </w:instrText>
      </w:r>
      <w:r>
        <w:fldChar w:fldCharType="separate"/>
      </w:r>
      <w:r>
        <w:rPr>
          <w:rStyle w:val="17"/>
        </w:rPr>
        <w:t>三、推进城乡一体发展</w:t>
      </w:r>
      <w:r>
        <w:tab/>
      </w:r>
      <w:r>
        <w:fldChar w:fldCharType="begin"/>
      </w:r>
      <w:r>
        <w:instrText xml:space="preserve"> PAGEREF _Toc460947519 \h </w:instrText>
      </w:r>
      <w:r>
        <w:fldChar w:fldCharType="separate"/>
      </w:r>
      <w:r>
        <w:t>20</w:t>
      </w:r>
      <w:r>
        <w:fldChar w:fldCharType="end"/>
      </w:r>
      <w:r>
        <w:fldChar w:fldCharType="end"/>
      </w:r>
    </w:p>
    <w:p>
      <w:pPr>
        <w:pStyle w:val="11"/>
        <w:tabs>
          <w:tab w:val="right" w:leader="dot" w:pos="8296"/>
        </w:tabs>
        <w:rPr>
          <w:sz w:val="32"/>
          <w:szCs w:val="32"/>
        </w:rPr>
      </w:pPr>
      <w:r>
        <w:fldChar w:fldCharType="begin"/>
      </w:r>
      <w:r>
        <w:instrText xml:space="preserve"> HYPERLINK \l "_Toc460947520" </w:instrText>
      </w:r>
      <w:r>
        <w:fldChar w:fldCharType="separate"/>
      </w:r>
      <w:r>
        <w:rPr>
          <w:rStyle w:val="17"/>
          <w:sz w:val="32"/>
          <w:szCs w:val="32"/>
        </w:rPr>
        <w:t>（一）提升整体城镇化质量</w:t>
      </w:r>
      <w:r>
        <w:rPr>
          <w:sz w:val="32"/>
          <w:szCs w:val="32"/>
        </w:rPr>
        <w:tab/>
      </w:r>
      <w:r>
        <w:rPr>
          <w:sz w:val="32"/>
          <w:szCs w:val="32"/>
        </w:rPr>
        <w:fldChar w:fldCharType="begin"/>
      </w:r>
      <w:r>
        <w:rPr>
          <w:sz w:val="32"/>
          <w:szCs w:val="32"/>
        </w:rPr>
        <w:instrText xml:space="preserve"> PAGEREF _Toc460947520 \h </w:instrText>
      </w:r>
      <w:r>
        <w:rPr>
          <w:sz w:val="32"/>
          <w:szCs w:val="32"/>
        </w:rPr>
        <w:fldChar w:fldCharType="separate"/>
      </w:r>
      <w:r>
        <w:rPr>
          <w:sz w:val="32"/>
          <w:szCs w:val="32"/>
        </w:rPr>
        <w:t>20</w:t>
      </w:r>
      <w:r>
        <w:rPr>
          <w:sz w:val="32"/>
          <w:szCs w:val="32"/>
        </w:rPr>
        <w:fldChar w:fldCharType="end"/>
      </w:r>
      <w:r>
        <w:rPr>
          <w:sz w:val="32"/>
          <w:szCs w:val="32"/>
        </w:rPr>
        <w:fldChar w:fldCharType="end"/>
      </w:r>
    </w:p>
    <w:p>
      <w:pPr>
        <w:pStyle w:val="11"/>
        <w:tabs>
          <w:tab w:val="right" w:leader="dot" w:pos="8296"/>
        </w:tabs>
        <w:rPr>
          <w:sz w:val="32"/>
          <w:szCs w:val="32"/>
        </w:rPr>
      </w:pPr>
      <w:r>
        <w:fldChar w:fldCharType="begin"/>
      </w:r>
      <w:r>
        <w:instrText xml:space="preserve"> HYPERLINK \l "_Toc460947521" </w:instrText>
      </w:r>
      <w:r>
        <w:fldChar w:fldCharType="separate"/>
      </w:r>
      <w:r>
        <w:rPr>
          <w:rStyle w:val="17"/>
          <w:sz w:val="32"/>
          <w:szCs w:val="32"/>
        </w:rPr>
        <w:t>（二）加快建设新型农村社区</w:t>
      </w:r>
      <w:r>
        <w:rPr>
          <w:sz w:val="32"/>
          <w:szCs w:val="32"/>
        </w:rPr>
        <w:tab/>
      </w:r>
      <w:r>
        <w:rPr>
          <w:sz w:val="32"/>
          <w:szCs w:val="32"/>
        </w:rPr>
        <w:fldChar w:fldCharType="begin"/>
      </w:r>
      <w:r>
        <w:rPr>
          <w:sz w:val="32"/>
          <w:szCs w:val="32"/>
        </w:rPr>
        <w:instrText xml:space="preserve"> PAGEREF _Toc460947521 \h </w:instrText>
      </w:r>
      <w:r>
        <w:rPr>
          <w:sz w:val="32"/>
          <w:szCs w:val="32"/>
        </w:rPr>
        <w:fldChar w:fldCharType="separate"/>
      </w:r>
      <w:r>
        <w:rPr>
          <w:sz w:val="32"/>
          <w:szCs w:val="32"/>
        </w:rPr>
        <w:t>22</w:t>
      </w:r>
      <w:r>
        <w:rPr>
          <w:sz w:val="32"/>
          <w:szCs w:val="32"/>
        </w:rPr>
        <w:fldChar w:fldCharType="end"/>
      </w:r>
      <w:r>
        <w:rPr>
          <w:sz w:val="32"/>
          <w:szCs w:val="32"/>
        </w:rPr>
        <w:fldChar w:fldCharType="end"/>
      </w:r>
    </w:p>
    <w:p>
      <w:pPr>
        <w:pStyle w:val="11"/>
        <w:tabs>
          <w:tab w:val="right" w:leader="dot" w:pos="8296"/>
        </w:tabs>
        <w:rPr>
          <w:sz w:val="32"/>
          <w:szCs w:val="32"/>
        </w:rPr>
      </w:pPr>
      <w:r>
        <w:fldChar w:fldCharType="begin"/>
      </w:r>
      <w:r>
        <w:instrText xml:space="preserve"> HYPERLINK \l "_Toc460947522" </w:instrText>
      </w:r>
      <w:r>
        <w:fldChar w:fldCharType="separate"/>
      </w:r>
      <w:r>
        <w:rPr>
          <w:rStyle w:val="17"/>
          <w:sz w:val="32"/>
          <w:szCs w:val="32"/>
        </w:rPr>
        <w:t>（三）推进美丽乡村建设</w:t>
      </w:r>
      <w:r>
        <w:rPr>
          <w:sz w:val="32"/>
          <w:szCs w:val="32"/>
        </w:rPr>
        <w:tab/>
      </w:r>
      <w:r>
        <w:rPr>
          <w:sz w:val="32"/>
          <w:szCs w:val="32"/>
        </w:rPr>
        <w:fldChar w:fldCharType="begin"/>
      </w:r>
      <w:r>
        <w:rPr>
          <w:sz w:val="32"/>
          <w:szCs w:val="32"/>
        </w:rPr>
        <w:instrText xml:space="preserve"> PAGEREF _Toc460947522 \h </w:instrText>
      </w:r>
      <w:r>
        <w:rPr>
          <w:sz w:val="32"/>
          <w:szCs w:val="32"/>
        </w:rPr>
        <w:fldChar w:fldCharType="separate"/>
      </w:r>
      <w:r>
        <w:rPr>
          <w:sz w:val="32"/>
          <w:szCs w:val="32"/>
        </w:rPr>
        <w:t>23</w:t>
      </w:r>
      <w:r>
        <w:rPr>
          <w:sz w:val="32"/>
          <w:szCs w:val="32"/>
        </w:rPr>
        <w:fldChar w:fldCharType="end"/>
      </w:r>
      <w:r>
        <w:rPr>
          <w:sz w:val="32"/>
          <w:szCs w:val="32"/>
        </w:rPr>
        <w:fldChar w:fldCharType="end"/>
      </w:r>
    </w:p>
    <w:p>
      <w:pPr>
        <w:pStyle w:val="11"/>
        <w:tabs>
          <w:tab w:val="right" w:leader="dot" w:pos="8296"/>
        </w:tabs>
        <w:rPr>
          <w:sz w:val="32"/>
          <w:szCs w:val="32"/>
        </w:rPr>
      </w:pPr>
      <w:r>
        <w:fldChar w:fldCharType="begin"/>
      </w:r>
      <w:r>
        <w:instrText xml:space="preserve"> HYPERLINK \l "_Toc460947523" </w:instrText>
      </w:r>
      <w:r>
        <w:fldChar w:fldCharType="separate"/>
      </w:r>
      <w:r>
        <w:rPr>
          <w:rStyle w:val="17"/>
          <w:sz w:val="32"/>
          <w:szCs w:val="32"/>
        </w:rPr>
        <w:t>（四）完善智慧城乡体系</w:t>
      </w:r>
      <w:r>
        <w:rPr>
          <w:sz w:val="32"/>
          <w:szCs w:val="32"/>
        </w:rPr>
        <w:tab/>
      </w:r>
      <w:r>
        <w:rPr>
          <w:sz w:val="32"/>
          <w:szCs w:val="32"/>
        </w:rPr>
        <w:fldChar w:fldCharType="begin"/>
      </w:r>
      <w:r>
        <w:rPr>
          <w:sz w:val="32"/>
          <w:szCs w:val="32"/>
        </w:rPr>
        <w:instrText xml:space="preserve"> PAGEREF _Toc460947523 \h </w:instrText>
      </w:r>
      <w:r>
        <w:rPr>
          <w:sz w:val="32"/>
          <w:szCs w:val="32"/>
        </w:rPr>
        <w:fldChar w:fldCharType="separate"/>
      </w:r>
      <w:r>
        <w:rPr>
          <w:sz w:val="32"/>
          <w:szCs w:val="32"/>
        </w:rPr>
        <w:t>24</w:t>
      </w:r>
      <w:r>
        <w:rPr>
          <w:sz w:val="32"/>
          <w:szCs w:val="32"/>
        </w:rPr>
        <w:fldChar w:fldCharType="end"/>
      </w:r>
      <w:r>
        <w:rPr>
          <w:sz w:val="32"/>
          <w:szCs w:val="32"/>
        </w:rPr>
        <w:fldChar w:fldCharType="end"/>
      </w:r>
    </w:p>
    <w:p>
      <w:pPr>
        <w:pStyle w:val="10"/>
        <w:rPr>
          <w:rFonts w:asciiTheme="minorHAnsi" w:hAnsiTheme="minorHAnsi" w:eastAsiaTheme="minorEastAsia" w:cstheme="minorBidi"/>
          <w:b w:val="0"/>
          <w:bCs w:val="0"/>
          <w:kern w:val="2"/>
        </w:rPr>
      </w:pPr>
      <w:r>
        <w:fldChar w:fldCharType="begin"/>
      </w:r>
      <w:r>
        <w:instrText xml:space="preserve"> HYPERLINK \l "_Toc460947524" </w:instrText>
      </w:r>
      <w:r>
        <w:fldChar w:fldCharType="separate"/>
      </w:r>
      <w:r>
        <w:rPr>
          <w:rStyle w:val="17"/>
        </w:rPr>
        <w:t>四、改善提升民生福祉</w:t>
      </w:r>
      <w:r>
        <w:tab/>
      </w:r>
      <w:r>
        <w:fldChar w:fldCharType="begin"/>
      </w:r>
      <w:r>
        <w:instrText xml:space="preserve"> PAGEREF _Toc460947524 \h </w:instrText>
      </w:r>
      <w:r>
        <w:fldChar w:fldCharType="separate"/>
      </w:r>
      <w:r>
        <w:t>27</w:t>
      </w:r>
      <w:r>
        <w:fldChar w:fldCharType="end"/>
      </w:r>
      <w:r>
        <w:fldChar w:fldCharType="end"/>
      </w:r>
    </w:p>
    <w:p>
      <w:pPr>
        <w:pStyle w:val="11"/>
        <w:tabs>
          <w:tab w:val="right" w:leader="dot" w:pos="8296"/>
        </w:tabs>
        <w:rPr>
          <w:sz w:val="32"/>
          <w:szCs w:val="32"/>
        </w:rPr>
      </w:pPr>
      <w:r>
        <w:fldChar w:fldCharType="begin"/>
      </w:r>
      <w:r>
        <w:instrText xml:space="preserve"> HYPERLINK \l "_Toc460947525" </w:instrText>
      </w:r>
      <w:r>
        <w:fldChar w:fldCharType="separate"/>
      </w:r>
      <w:r>
        <w:rPr>
          <w:rStyle w:val="17"/>
          <w:sz w:val="32"/>
          <w:szCs w:val="32"/>
        </w:rPr>
        <w:t>（一）稳定城乡创业就业增长</w:t>
      </w:r>
      <w:r>
        <w:rPr>
          <w:sz w:val="32"/>
          <w:szCs w:val="32"/>
        </w:rPr>
        <w:tab/>
      </w:r>
      <w:r>
        <w:rPr>
          <w:sz w:val="32"/>
          <w:szCs w:val="32"/>
        </w:rPr>
        <w:fldChar w:fldCharType="begin"/>
      </w:r>
      <w:r>
        <w:rPr>
          <w:sz w:val="32"/>
          <w:szCs w:val="32"/>
        </w:rPr>
        <w:instrText xml:space="preserve"> PAGEREF _Toc460947525 \h </w:instrText>
      </w:r>
      <w:r>
        <w:rPr>
          <w:sz w:val="32"/>
          <w:szCs w:val="32"/>
        </w:rPr>
        <w:fldChar w:fldCharType="separate"/>
      </w:r>
      <w:r>
        <w:rPr>
          <w:sz w:val="32"/>
          <w:szCs w:val="32"/>
        </w:rPr>
        <w:t>27</w:t>
      </w:r>
      <w:r>
        <w:rPr>
          <w:sz w:val="32"/>
          <w:szCs w:val="32"/>
        </w:rPr>
        <w:fldChar w:fldCharType="end"/>
      </w:r>
      <w:r>
        <w:rPr>
          <w:sz w:val="32"/>
          <w:szCs w:val="32"/>
        </w:rPr>
        <w:fldChar w:fldCharType="end"/>
      </w:r>
    </w:p>
    <w:p>
      <w:pPr>
        <w:pStyle w:val="11"/>
        <w:tabs>
          <w:tab w:val="right" w:leader="dot" w:pos="8296"/>
        </w:tabs>
        <w:rPr>
          <w:sz w:val="32"/>
          <w:szCs w:val="32"/>
        </w:rPr>
      </w:pPr>
      <w:r>
        <w:fldChar w:fldCharType="begin"/>
      </w:r>
      <w:r>
        <w:instrText xml:space="preserve"> HYPERLINK \l "_Toc460947526" </w:instrText>
      </w:r>
      <w:r>
        <w:fldChar w:fldCharType="separate"/>
      </w:r>
      <w:r>
        <w:rPr>
          <w:rStyle w:val="17"/>
          <w:sz w:val="32"/>
          <w:szCs w:val="32"/>
        </w:rPr>
        <w:t>（二）完善新型医疗卫生体系</w:t>
      </w:r>
      <w:r>
        <w:rPr>
          <w:sz w:val="32"/>
          <w:szCs w:val="32"/>
        </w:rPr>
        <w:tab/>
      </w:r>
      <w:r>
        <w:rPr>
          <w:sz w:val="32"/>
          <w:szCs w:val="32"/>
        </w:rPr>
        <w:fldChar w:fldCharType="begin"/>
      </w:r>
      <w:r>
        <w:rPr>
          <w:sz w:val="32"/>
          <w:szCs w:val="32"/>
        </w:rPr>
        <w:instrText xml:space="preserve"> PAGEREF _Toc460947526 \h </w:instrText>
      </w:r>
      <w:r>
        <w:rPr>
          <w:sz w:val="32"/>
          <w:szCs w:val="32"/>
        </w:rPr>
        <w:fldChar w:fldCharType="separate"/>
      </w:r>
      <w:r>
        <w:rPr>
          <w:sz w:val="32"/>
          <w:szCs w:val="32"/>
        </w:rPr>
        <w:t>28</w:t>
      </w:r>
      <w:r>
        <w:rPr>
          <w:sz w:val="32"/>
          <w:szCs w:val="32"/>
        </w:rPr>
        <w:fldChar w:fldCharType="end"/>
      </w:r>
      <w:r>
        <w:rPr>
          <w:sz w:val="32"/>
          <w:szCs w:val="32"/>
        </w:rPr>
        <w:fldChar w:fldCharType="end"/>
      </w:r>
    </w:p>
    <w:p>
      <w:pPr>
        <w:pStyle w:val="11"/>
        <w:tabs>
          <w:tab w:val="right" w:leader="dot" w:pos="8296"/>
        </w:tabs>
        <w:rPr>
          <w:sz w:val="32"/>
          <w:szCs w:val="32"/>
        </w:rPr>
      </w:pPr>
      <w:r>
        <w:fldChar w:fldCharType="begin"/>
      </w:r>
      <w:r>
        <w:instrText xml:space="preserve"> HYPERLINK \l "_Toc460947527" </w:instrText>
      </w:r>
      <w:r>
        <w:fldChar w:fldCharType="separate"/>
      </w:r>
      <w:r>
        <w:rPr>
          <w:rStyle w:val="17"/>
          <w:sz w:val="32"/>
          <w:szCs w:val="32"/>
        </w:rPr>
        <w:t>（三）大力发展教育文体事业</w:t>
      </w:r>
      <w:r>
        <w:rPr>
          <w:sz w:val="32"/>
          <w:szCs w:val="32"/>
        </w:rPr>
        <w:tab/>
      </w:r>
      <w:r>
        <w:rPr>
          <w:sz w:val="32"/>
          <w:szCs w:val="32"/>
        </w:rPr>
        <w:fldChar w:fldCharType="begin"/>
      </w:r>
      <w:r>
        <w:rPr>
          <w:sz w:val="32"/>
          <w:szCs w:val="32"/>
        </w:rPr>
        <w:instrText xml:space="preserve"> PAGEREF _Toc460947527 \h </w:instrText>
      </w:r>
      <w:r>
        <w:rPr>
          <w:sz w:val="32"/>
          <w:szCs w:val="32"/>
        </w:rPr>
        <w:fldChar w:fldCharType="separate"/>
      </w:r>
      <w:r>
        <w:rPr>
          <w:sz w:val="32"/>
          <w:szCs w:val="32"/>
        </w:rPr>
        <w:t>29</w:t>
      </w:r>
      <w:r>
        <w:rPr>
          <w:sz w:val="32"/>
          <w:szCs w:val="32"/>
        </w:rPr>
        <w:fldChar w:fldCharType="end"/>
      </w:r>
      <w:r>
        <w:rPr>
          <w:sz w:val="32"/>
          <w:szCs w:val="32"/>
        </w:rPr>
        <w:fldChar w:fldCharType="end"/>
      </w:r>
    </w:p>
    <w:p>
      <w:pPr>
        <w:pStyle w:val="11"/>
        <w:tabs>
          <w:tab w:val="right" w:leader="dot" w:pos="8296"/>
        </w:tabs>
        <w:rPr>
          <w:sz w:val="32"/>
          <w:szCs w:val="32"/>
        </w:rPr>
      </w:pPr>
      <w:r>
        <w:fldChar w:fldCharType="begin"/>
      </w:r>
      <w:r>
        <w:instrText xml:space="preserve"> HYPERLINK \l "_Toc460947528" </w:instrText>
      </w:r>
      <w:r>
        <w:fldChar w:fldCharType="separate"/>
      </w:r>
      <w:r>
        <w:rPr>
          <w:rStyle w:val="17"/>
          <w:sz w:val="32"/>
          <w:szCs w:val="32"/>
        </w:rPr>
        <w:t>（四）构筑社会保障全覆盖网络</w:t>
      </w:r>
      <w:r>
        <w:rPr>
          <w:sz w:val="32"/>
          <w:szCs w:val="32"/>
        </w:rPr>
        <w:tab/>
      </w:r>
      <w:r>
        <w:rPr>
          <w:sz w:val="32"/>
          <w:szCs w:val="32"/>
        </w:rPr>
        <w:fldChar w:fldCharType="begin"/>
      </w:r>
      <w:r>
        <w:rPr>
          <w:sz w:val="32"/>
          <w:szCs w:val="32"/>
        </w:rPr>
        <w:instrText xml:space="preserve"> PAGEREF _Toc460947528 \h </w:instrText>
      </w:r>
      <w:r>
        <w:rPr>
          <w:sz w:val="32"/>
          <w:szCs w:val="32"/>
        </w:rPr>
        <w:fldChar w:fldCharType="separate"/>
      </w:r>
      <w:r>
        <w:rPr>
          <w:sz w:val="32"/>
          <w:szCs w:val="32"/>
        </w:rPr>
        <w:t>32</w:t>
      </w:r>
      <w:r>
        <w:rPr>
          <w:sz w:val="32"/>
          <w:szCs w:val="32"/>
        </w:rPr>
        <w:fldChar w:fldCharType="end"/>
      </w:r>
      <w:r>
        <w:rPr>
          <w:sz w:val="32"/>
          <w:szCs w:val="32"/>
        </w:rPr>
        <w:fldChar w:fldCharType="end"/>
      </w:r>
    </w:p>
    <w:p>
      <w:pPr>
        <w:pStyle w:val="10"/>
        <w:rPr>
          <w:rFonts w:asciiTheme="minorHAnsi" w:hAnsiTheme="minorHAnsi" w:eastAsiaTheme="minorEastAsia" w:cstheme="minorBidi"/>
          <w:b w:val="0"/>
          <w:bCs w:val="0"/>
          <w:kern w:val="2"/>
        </w:rPr>
      </w:pPr>
      <w:r>
        <w:fldChar w:fldCharType="begin"/>
      </w:r>
      <w:r>
        <w:instrText xml:space="preserve"> HYPERLINK \l "_Toc460947529" </w:instrText>
      </w:r>
      <w:r>
        <w:fldChar w:fldCharType="separate"/>
      </w:r>
      <w:r>
        <w:rPr>
          <w:rStyle w:val="17"/>
        </w:rPr>
        <w:t>五、提升社会治理能力</w:t>
      </w:r>
      <w:r>
        <w:tab/>
      </w:r>
      <w:r>
        <w:fldChar w:fldCharType="begin"/>
      </w:r>
      <w:r>
        <w:instrText xml:space="preserve"> PAGEREF _Toc460947529 \h </w:instrText>
      </w:r>
      <w:r>
        <w:fldChar w:fldCharType="separate"/>
      </w:r>
      <w:r>
        <w:t>35</w:t>
      </w:r>
      <w:r>
        <w:fldChar w:fldCharType="end"/>
      </w:r>
      <w:r>
        <w:fldChar w:fldCharType="end"/>
      </w:r>
    </w:p>
    <w:p>
      <w:pPr>
        <w:pStyle w:val="11"/>
        <w:tabs>
          <w:tab w:val="right" w:leader="dot" w:pos="8296"/>
        </w:tabs>
        <w:rPr>
          <w:sz w:val="32"/>
          <w:szCs w:val="32"/>
        </w:rPr>
      </w:pPr>
      <w:r>
        <w:fldChar w:fldCharType="begin"/>
      </w:r>
      <w:r>
        <w:instrText xml:space="preserve"> HYPERLINK \l "_Toc460947530" </w:instrText>
      </w:r>
      <w:r>
        <w:fldChar w:fldCharType="separate"/>
      </w:r>
      <w:r>
        <w:rPr>
          <w:rStyle w:val="17"/>
          <w:sz w:val="32"/>
          <w:szCs w:val="32"/>
        </w:rPr>
        <w:t>（一）加强法治建设</w:t>
      </w:r>
      <w:r>
        <w:rPr>
          <w:sz w:val="32"/>
          <w:szCs w:val="32"/>
        </w:rPr>
        <w:tab/>
      </w:r>
      <w:r>
        <w:rPr>
          <w:sz w:val="32"/>
          <w:szCs w:val="32"/>
        </w:rPr>
        <w:fldChar w:fldCharType="begin"/>
      </w:r>
      <w:r>
        <w:rPr>
          <w:sz w:val="32"/>
          <w:szCs w:val="32"/>
        </w:rPr>
        <w:instrText xml:space="preserve"> PAGEREF _Toc460947530 \h </w:instrText>
      </w:r>
      <w:r>
        <w:rPr>
          <w:sz w:val="32"/>
          <w:szCs w:val="32"/>
        </w:rPr>
        <w:fldChar w:fldCharType="separate"/>
      </w:r>
      <w:r>
        <w:rPr>
          <w:sz w:val="32"/>
          <w:szCs w:val="32"/>
        </w:rPr>
        <w:t>35</w:t>
      </w:r>
      <w:r>
        <w:rPr>
          <w:sz w:val="32"/>
          <w:szCs w:val="32"/>
        </w:rPr>
        <w:fldChar w:fldCharType="end"/>
      </w:r>
      <w:r>
        <w:rPr>
          <w:sz w:val="32"/>
          <w:szCs w:val="32"/>
        </w:rPr>
        <w:fldChar w:fldCharType="end"/>
      </w:r>
    </w:p>
    <w:p>
      <w:pPr>
        <w:pStyle w:val="11"/>
        <w:tabs>
          <w:tab w:val="right" w:leader="dot" w:pos="8296"/>
        </w:tabs>
        <w:rPr>
          <w:sz w:val="32"/>
          <w:szCs w:val="32"/>
        </w:rPr>
      </w:pPr>
      <w:r>
        <w:fldChar w:fldCharType="begin"/>
      </w:r>
      <w:r>
        <w:instrText xml:space="preserve"> HYPERLINK \l "_Toc460947531" </w:instrText>
      </w:r>
      <w:r>
        <w:fldChar w:fldCharType="separate"/>
      </w:r>
      <w:r>
        <w:rPr>
          <w:rStyle w:val="17"/>
          <w:sz w:val="32"/>
          <w:szCs w:val="32"/>
        </w:rPr>
        <w:t>（二）完善网格化管理</w:t>
      </w:r>
      <w:r>
        <w:rPr>
          <w:sz w:val="32"/>
          <w:szCs w:val="32"/>
        </w:rPr>
        <w:tab/>
      </w:r>
      <w:r>
        <w:rPr>
          <w:sz w:val="32"/>
          <w:szCs w:val="32"/>
        </w:rPr>
        <w:fldChar w:fldCharType="begin"/>
      </w:r>
      <w:r>
        <w:rPr>
          <w:sz w:val="32"/>
          <w:szCs w:val="32"/>
        </w:rPr>
        <w:instrText xml:space="preserve"> PAGEREF _Toc460947531 \h </w:instrText>
      </w:r>
      <w:r>
        <w:rPr>
          <w:sz w:val="32"/>
          <w:szCs w:val="32"/>
        </w:rPr>
        <w:fldChar w:fldCharType="separate"/>
      </w:r>
      <w:r>
        <w:rPr>
          <w:sz w:val="32"/>
          <w:szCs w:val="32"/>
        </w:rPr>
        <w:t>35</w:t>
      </w:r>
      <w:r>
        <w:rPr>
          <w:sz w:val="32"/>
          <w:szCs w:val="32"/>
        </w:rPr>
        <w:fldChar w:fldCharType="end"/>
      </w:r>
      <w:r>
        <w:rPr>
          <w:sz w:val="32"/>
          <w:szCs w:val="32"/>
        </w:rPr>
        <w:fldChar w:fldCharType="end"/>
      </w:r>
    </w:p>
    <w:p>
      <w:pPr>
        <w:pStyle w:val="11"/>
        <w:tabs>
          <w:tab w:val="right" w:leader="dot" w:pos="8296"/>
        </w:tabs>
        <w:rPr>
          <w:sz w:val="32"/>
          <w:szCs w:val="32"/>
        </w:rPr>
      </w:pPr>
      <w:r>
        <w:fldChar w:fldCharType="begin"/>
      </w:r>
      <w:r>
        <w:instrText xml:space="preserve"> HYPERLINK \l "_Toc460947532" </w:instrText>
      </w:r>
      <w:r>
        <w:fldChar w:fldCharType="separate"/>
      </w:r>
      <w:r>
        <w:rPr>
          <w:rStyle w:val="17"/>
          <w:sz w:val="32"/>
          <w:szCs w:val="32"/>
        </w:rPr>
        <w:t>（三）强化社会精细化管理</w:t>
      </w:r>
      <w:r>
        <w:rPr>
          <w:sz w:val="32"/>
          <w:szCs w:val="32"/>
        </w:rPr>
        <w:tab/>
      </w:r>
      <w:r>
        <w:rPr>
          <w:sz w:val="32"/>
          <w:szCs w:val="32"/>
        </w:rPr>
        <w:fldChar w:fldCharType="begin"/>
      </w:r>
      <w:r>
        <w:rPr>
          <w:sz w:val="32"/>
          <w:szCs w:val="32"/>
        </w:rPr>
        <w:instrText xml:space="preserve"> PAGEREF _Toc460947532 \h </w:instrText>
      </w:r>
      <w:r>
        <w:rPr>
          <w:sz w:val="32"/>
          <w:szCs w:val="32"/>
        </w:rPr>
        <w:fldChar w:fldCharType="separate"/>
      </w:r>
      <w:r>
        <w:rPr>
          <w:sz w:val="32"/>
          <w:szCs w:val="32"/>
        </w:rPr>
        <w:t>36</w:t>
      </w:r>
      <w:r>
        <w:rPr>
          <w:sz w:val="32"/>
          <w:szCs w:val="32"/>
        </w:rPr>
        <w:fldChar w:fldCharType="end"/>
      </w:r>
      <w:r>
        <w:rPr>
          <w:sz w:val="32"/>
          <w:szCs w:val="32"/>
        </w:rPr>
        <w:fldChar w:fldCharType="end"/>
      </w:r>
    </w:p>
    <w:p>
      <w:pPr>
        <w:pStyle w:val="10"/>
        <w:rPr>
          <w:rFonts w:asciiTheme="minorHAnsi" w:hAnsiTheme="minorHAnsi" w:eastAsiaTheme="minorEastAsia" w:cstheme="minorBidi"/>
          <w:b w:val="0"/>
          <w:bCs w:val="0"/>
          <w:kern w:val="2"/>
        </w:rPr>
      </w:pPr>
      <w:r>
        <w:fldChar w:fldCharType="begin"/>
      </w:r>
      <w:r>
        <w:instrText xml:space="preserve"> HYPERLINK \l "_Toc460947533" </w:instrText>
      </w:r>
      <w:r>
        <w:fldChar w:fldCharType="separate"/>
      </w:r>
      <w:r>
        <w:rPr>
          <w:rStyle w:val="17"/>
        </w:rPr>
        <w:t>六、营造绿色生态环境</w:t>
      </w:r>
      <w:r>
        <w:tab/>
      </w:r>
      <w:r>
        <w:fldChar w:fldCharType="begin"/>
      </w:r>
      <w:r>
        <w:instrText xml:space="preserve"> PAGEREF _Toc460947533 \h </w:instrText>
      </w:r>
      <w:r>
        <w:fldChar w:fldCharType="separate"/>
      </w:r>
      <w:r>
        <w:t>39</w:t>
      </w:r>
      <w:r>
        <w:fldChar w:fldCharType="end"/>
      </w:r>
      <w:r>
        <w:fldChar w:fldCharType="end"/>
      </w:r>
    </w:p>
    <w:p>
      <w:pPr>
        <w:pStyle w:val="11"/>
        <w:tabs>
          <w:tab w:val="right" w:leader="dot" w:pos="8296"/>
        </w:tabs>
        <w:rPr>
          <w:sz w:val="32"/>
          <w:szCs w:val="32"/>
        </w:rPr>
      </w:pPr>
      <w:r>
        <w:fldChar w:fldCharType="begin"/>
      </w:r>
      <w:r>
        <w:instrText xml:space="preserve"> HYPERLINK \l "_Toc460947534" </w:instrText>
      </w:r>
      <w:r>
        <w:fldChar w:fldCharType="separate"/>
      </w:r>
      <w:r>
        <w:rPr>
          <w:rStyle w:val="17"/>
          <w:sz w:val="32"/>
          <w:szCs w:val="32"/>
        </w:rPr>
        <w:t>（一）建设宜居宜业绿色家园</w:t>
      </w:r>
      <w:r>
        <w:rPr>
          <w:sz w:val="32"/>
          <w:szCs w:val="32"/>
        </w:rPr>
        <w:tab/>
      </w:r>
      <w:r>
        <w:rPr>
          <w:sz w:val="32"/>
          <w:szCs w:val="32"/>
        </w:rPr>
        <w:fldChar w:fldCharType="begin"/>
      </w:r>
      <w:r>
        <w:rPr>
          <w:sz w:val="32"/>
          <w:szCs w:val="32"/>
        </w:rPr>
        <w:instrText xml:space="preserve"> PAGEREF _Toc460947534 \h </w:instrText>
      </w:r>
      <w:r>
        <w:rPr>
          <w:sz w:val="32"/>
          <w:szCs w:val="32"/>
        </w:rPr>
        <w:fldChar w:fldCharType="separate"/>
      </w:r>
      <w:r>
        <w:rPr>
          <w:sz w:val="32"/>
          <w:szCs w:val="32"/>
        </w:rPr>
        <w:t>39</w:t>
      </w:r>
      <w:r>
        <w:rPr>
          <w:sz w:val="32"/>
          <w:szCs w:val="32"/>
        </w:rPr>
        <w:fldChar w:fldCharType="end"/>
      </w:r>
      <w:r>
        <w:rPr>
          <w:sz w:val="32"/>
          <w:szCs w:val="32"/>
        </w:rPr>
        <w:fldChar w:fldCharType="end"/>
      </w:r>
    </w:p>
    <w:p>
      <w:pPr>
        <w:pStyle w:val="11"/>
        <w:tabs>
          <w:tab w:val="right" w:leader="dot" w:pos="8296"/>
        </w:tabs>
        <w:rPr>
          <w:sz w:val="32"/>
          <w:szCs w:val="32"/>
        </w:rPr>
      </w:pPr>
      <w:r>
        <w:fldChar w:fldCharType="begin"/>
      </w:r>
      <w:r>
        <w:instrText xml:space="preserve"> HYPERLINK \l "_Toc460947535" </w:instrText>
      </w:r>
      <w:r>
        <w:fldChar w:fldCharType="separate"/>
      </w:r>
      <w:r>
        <w:rPr>
          <w:rStyle w:val="17"/>
          <w:sz w:val="32"/>
          <w:szCs w:val="32"/>
        </w:rPr>
        <w:t>（二）构筑自然水域景观</w:t>
      </w:r>
      <w:r>
        <w:rPr>
          <w:sz w:val="32"/>
          <w:szCs w:val="32"/>
        </w:rPr>
        <w:tab/>
      </w:r>
      <w:r>
        <w:rPr>
          <w:sz w:val="32"/>
          <w:szCs w:val="32"/>
        </w:rPr>
        <w:fldChar w:fldCharType="begin"/>
      </w:r>
      <w:r>
        <w:rPr>
          <w:sz w:val="32"/>
          <w:szCs w:val="32"/>
        </w:rPr>
        <w:instrText xml:space="preserve"> PAGEREF _Toc460947535 \h </w:instrText>
      </w:r>
      <w:r>
        <w:rPr>
          <w:sz w:val="32"/>
          <w:szCs w:val="32"/>
        </w:rPr>
        <w:fldChar w:fldCharType="separate"/>
      </w:r>
      <w:r>
        <w:rPr>
          <w:sz w:val="32"/>
          <w:szCs w:val="32"/>
        </w:rPr>
        <w:t>41</w:t>
      </w:r>
      <w:r>
        <w:rPr>
          <w:sz w:val="32"/>
          <w:szCs w:val="32"/>
        </w:rPr>
        <w:fldChar w:fldCharType="end"/>
      </w:r>
      <w:r>
        <w:rPr>
          <w:sz w:val="32"/>
          <w:szCs w:val="32"/>
        </w:rPr>
        <w:fldChar w:fldCharType="end"/>
      </w:r>
    </w:p>
    <w:p>
      <w:pPr>
        <w:pStyle w:val="11"/>
        <w:tabs>
          <w:tab w:val="right" w:leader="dot" w:pos="8296"/>
        </w:tabs>
        <w:rPr>
          <w:sz w:val="32"/>
          <w:szCs w:val="32"/>
        </w:rPr>
      </w:pPr>
      <w:r>
        <w:fldChar w:fldCharType="begin"/>
      </w:r>
      <w:r>
        <w:instrText xml:space="preserve"> HYPERLINK \l "_Toc460947536" </w:instrText>
      </w:r>
      <w:r>
        <w:fldChar w:fldCharType="separate"/>
      </w:r>
      <w:r>
        <w:rPr>
          <w:rStyle w:val="17"/>
          <w:sz w:val="32"/>
          <w:szCs w:val="32"/>
        </w:rPr>
        <w:t>（三）加大环境保护力度</w:t>
      </w:r>
      <w:r>
        <w:rPr>
          <w:sz w:val="32"/>
          <w:szCs w:val="32"/>
        </w:rPr>
        <w:tab/>
      </w:r>
      <w:r>
        <w:rPr>
          <w:sz w:val="32"/>
          <w:szCs w:val="32"/>
        </w:rPr>
        <w:fldChar w:fldCharType="begin"/>
      </w:r>
      <w:r>
        <w:rPr>
          <w:sz w:val="32"/>
          <w:szCs w:val="32"/>
        </w:rPr>
        <w:instrText xml:space="preserve"> PAGEREF _Toc460947536 \h </w:instrText>
      </w:r>
      <w:r>
        <w:rPr>
          <w:sz w:val="32"/>
          <w:szCs w:val="32"/>
        </w:rPr>
        <w:fldChar w:fldCharType="separate"/>
      </w:r>
      <w:r>
        <w:rPr>
          <w:sz w:val="32"/>
          <w:szCs w:val="32"/>
        </w:rPr>
        <w:t>42</w:t>
      </w:r>
      <w:r>
        <w:rPr>
          <w:sz w:val="32"/>
          <w:szCs w:val="32"/>
        </w:rPr>
        <w:fldChar w:fldCharType="end"/>
      </w:r>
      <w:r>
        <w:rPr>
          <w:sz w:val="32"/>
          <w:szCs w:val="32"/>
        </w:rPr>
        <w:fldChar w:fldCharType="end"/>
      </w:r>
    </w:p>
    <w:p>
      <w:pPr>
        <w:pStyle w:val="10"/>
        <w:rPr>
          <w:rFonts w:asciiTheme="minorHAnsi" w:hAnsiTheme="minorHAnsi" w:eastAsiaTheme="minorEastAsia" w:cstheme="minorBidi"/>
          <w:b w:val="0"/>
          <w:bCs w:val="0"/>
          <w:kern w:val="2"/>
        </w:rPr>
      </w:pPr>
      <w:r>
        <w:fldChar w:fldCharType="begin"/>
      </w:r>
      <w:r>
        <w:instrText xml:space="preserve"> HYPERLINK \l "_Toc460947537" </w:instrText>
      </w:r>
      <w:r>
        <w:fldChar w:fldCharType="separate"/>
      </w:r>
      <w:r>
        <w:rPr>
          <w:rStyle w:val="17"/>
        </w:rPr>
        <w:t>七、创新驱动开放发展</w:t>
      </w:r>
      <w:r>
        <w:tab/>
      </w:r>
      <w:r>
        <w:fldChar w:fldCharType="begin"/>
      </w:r>
      <w:r>
        <w:instrText xml:space="preserve"> PAGEREF _Toc460947537 \h </w:instrText>
      </w:r>
      <w:r>
        <w:fldChar w:fldCharType="separate"/>
      </w:r>
      <w:r>
        <w:t>43</w:t>
      </w:r>
      <w:r>
        <w:fldChar w:fldCharType="end"/>
      </w:r>
      <w:r>
        <w:fldChar w:fldCharType="end"/>
      </w:r>
    </w:p>
    <w:p>
      <w:pPr>
        <w:pStyle w:val="11"/>
        <w:tabs>
          <w:tab w:val="right" w:leader="dot" w:pos="8296"/>
        </w:tabs>
        <w:rPr>
          <w:sz w:val="32"/>
          <w:szCs w:val="32"/>
        </w:rPr>
      </w:pPr>
      <w:r>
        <w:fldChar w:fldCharType="begin"/>
      </w:r>
      <w:r>
        <w:instrText xml:space="preserve"> HYPERLINK \l "_Toc460947538" </w:instrText>
      </w:r>
      <w:r>
        <w:fldChar w:fldCharType="separate"/>
      </w:r>
      <w:r>
        <w:rPr>
          <w:rStyle w:val="17"/>
          <w:sz w:val="32"/>
          <w:szCs w:val="32"/>
        </w:rPr>
        <w:t>（一）培育创新发展新动力</w:t>
      </w:r>
      <w:r>
        <w:rPr>
          <w:sz w:val="32"/>
          <w:szCs w:val="32"/>
        </w:rPr>
        <w:tab/>
      </w:r>
      <w:r>
        <w:rPr>
          <w:sz w:val="32"/>
          <w:szCs w:val="32"/>
        </w:rPr>
        <w:fldChar w:fldCharType="begin"/>
      </w:r>
      <w:r>
        <w:rPr>
          <w:sz w:val="32"/>
          <w:szCs w:val="32"/>
        </w:rPr>
        <w:instrText xml:space="preserve"> PAGEREF _Toc460947538 \h </w:instrText>
      </w:r>
      <w:r>
        <w:rPr>
          <w:sz w:val="32"/>
          <w:szCs w:val="32"/>
        </w:rPr>
        <w:fldChar w:fldCharType="separate"/>
      </w:r>
      <w:r>
        <w:rPr>
          <w:sz w:val="32"/>
          <w:szCs w:val="32"/>
        </w:rPr>
        <w:t>43</w:t>
      </w:r>
      <w:r>
        <w:rPr>
          <w:sz w:val="32"/>
          <w:szCs w:val="32"/>
        </w:rPr>
        <w:fldChar w:fldCharType="end"/>
      </w:r>
      <w:r>
        <w:rPr>
          <w:sz w:val="32"/>
          <w:szCs w:val="32"/>
        </w:rPr>
        <w:fldChar w:fldCharType="end"/>
      </w:r>
    </w:p>
    <w:p>
      <w:pPr>
        <w:pStyle w:val="11"/>
        <w:tabs>
          <w:tab w:val="right" w:leader="dot" w:pos="8296"/>
        </w:tabs>
        <w:rPr>
          <w:sz w:val="32"/>
          <w:szCs w:val="32"/>
        </w:rPr>
      </w:pPr>
      <w:r>
        <w:fldChar w:fldCharType="begin"/>
      </w:r>
      <w:r>
        <w:instrText xml:space="preserve"> HYPERLINK \l "_Toc460947539" </w:instrText>
      </w:r>
      <w:r>
        <w:fldChar w:fldCharType="separate"/>
      </w:r>
      <w:r>
        <w:rPr>
          <w:rStyle w:val="17"/>
          <w:sz w:val="32"/>
          <w:szCs w:val="32"/>
        </w:rPr>
        <w:t>（二）实施“互联网+”行动</w:t>
      </w:r>
      <w:r>
        <w:rPr>
          <w:sz w:val="32"/>
          <w:szCs w:val="32"/>
        </w:rPr>
        <w:tab/>
      </w:r>
      <w:r>
        <w:rPr>
          <w:sz w:val="32"/>
          <w:szCs w:val="32"/>
        </w:rPr>
        <w:fldChar w:fldCharType="begin"/>
      </w:r>
      <w:r>
        <w:rPr>
          <w:sz w:val="32"/>
          <w:szCs w:val="32"/>
        </w:rPr>
        <w:instrText xml:space="preserve"> PAGEREF _Toc460947539 \h </w:instrText>
      </w:r>
      <w:r>
        <w:rPr>
          <w:sz w:val="32"/>
          <w:szCs w:val="32"/>
        </w:rPr>
        <w:fldChar w:fldCharType="separate"/>
      </w:r>
      <w:r>
        <w:rPr>
          <w:sz w:val="32"/>
          <w:szCs w:val="32"/>
        </w:rPr>
        <w:t>44</w:t>
      </w:r>
      <w:r>
        <w:rPr>
          <w:sz w:val="32"/>
          <w:szCs w:val="32"/>
        </w:rPr>
        <w:fldChar w:fldCharType="end"/>
      </w:r>
      <w:r>
        <w:rPr>
          <w:sz w:val="32"/>
          <w:szCs w:val="32"/>
        </w:rPr>
        <w:fldChar w:fldCharType="end"/>
      </w:r>
    </w:p>
    <w:p>
      <w:pPr>
        <w:pStyle w:val="11"/>
        <w:tabs>
          <w:tab w:val="right" w:leader="dot" w:pos="8296"/>
        </w:tabs>
        <w:rPr>
          <w:sz w:val="32"/>
          <w:szCs w:val="32"/>
        </w:rPr>
      </w:pPr>
      <w:r>
        <w:fldChar w:fldCharType="begin"/>
      </w:r>
      <w:r>
        <w:instrText xml:space="preserve"> HYPERLINK \l "_Toc460947540" </w:instrText>
      </w:r>
      <w:r>
        <w:fldChar w:fldCharType="separate"/>
      </w:r>
      <w:r>
        <w:rPr>
          <w:rStyle w:val="17"/>
          <w:sz w:val="32"/>
          <w:szCs w:val="32"/>
        </w:rPr>
        <w:t>（三）推进重点领域改革突破</w:t>
      </w:r>
      <w:r>
        <w:rPr>
          <w:sz w:val="32"/>
          <w:szCs w:val="32"/>
        </w:rPr>
        <w:tab/>
      </w:r>
      <w:r>
        <w:rPr>
          <w:sz w:val="32"/>
          <w:szCs w:val="32"/>
        </w:rPr>
        <w:fldChar w:fldCharType="begin"/>
      </w:r>
      <w:r>
        <w:rPr>
          <w:sz w:val="32"/>
          <w:szCs w:val="32"/>
        </w:rPr>
        <w:instrText xml:space="preserve"> PAGEREF _Toc460947540 \h </w:instrText>
      </w:r>
      <w:r>
        <w:rPr>
          <w:sz w:val="32"/>
          <w:szCs w:val="32"/>
        </w:rPr>
        <w:fldChar w:fldCharType="separate"/>
      </w:r>
      <w:r>
        <w:rPr>
          <w:sz w:val="32"/>
          <w:szCs w:val="32"/>
        </w:rPr>
        <w:t>46</w:t>
      </w:r>
      <w:r>
        <w:rPr>
          <w:sz w:val="32"/>
          <w:szCs w:val="32"/>
        </w:rPr>
        <w:fldChar w:fldCharType="end"/>
      </w:r>
      <w:r>
        <w:rPr>
          <w:sz w:val="32"/>
          <w:szCs w:val="32"/>
        </w:rPr>
        <w:fldChar w:fldCharType="end"/>
      </w:r>
    </w:p>
    <w:p>
      <w:pPr>
        <w:pStyle w:val="11"/>
        <w:tabs>
          <w:tab w:val="right" w:leader="dot" w:pos="8296"/>
        </w:tabs>
        <w:rPr>
          <w:sz w:val="32"/>
          <w:szCs w:val="32"/>
        </w:rPr>
      </w:pPr>
      <w:r>
        <w:fldChar w:fldCharType="begin"/>
      </w:r>
      <w:r>
        <w:instrText xml:space="preserve"> HYPERLINK \l "_Toc460947541" </w:instrText>
      </w:r>
      <w:r>
        <w:fldChar w:fldCharType="separate"/>
      </w:r>
      <w:r>
        <w:rPr>
          <w:rStyle w:val="17"/>
          <w:rFonts w:ascii="华文中宋" w:hAnsi="华文中宋"/>
          <w:sz w:val="32"/>
          <w:szCs w:val="32"/>
        </w:rPr>
        <w:t>（四）构建开放合作交流新格局</w:t>
      </w:r>
      <w:r>
        <w:rPr>
          <w:sz w:val="32"/>
          <w:szCs w:val="32"/>
        </w:rPr>
        <w:tab/>
      </w:r>
      <w:r>
        <w:rPr>
          <w:sz w:val="32"/>
          <w:szCs w:val="32"/>
        </w:rPr>
        <w:fldChar w:fldCharType="begin"/>
      </w:r>
      <w:r>
        <w:rPr>
          <w:sz w:val="32"/>
          <w:szCs w:val="32"/>
        </w:rPr>
        <w:instrText xml:space="preserve"> PAGEREF _Toc460947541 \h </w:instrText>
      </w:r>
      <w:r>
        <w:rPr>
          <w:sz w:val="32"/>
          <w:szCs w:val="32"/>
        </w:rPr>
        <w:fldChar w:fldCharType="separate"/>
      </w:r>
      <w:r>
        <w:rPr>
          <w:sz w:val="32"/>
          <w:szCs w:val="32"/>
        </w:rPr>
        <w:t>48</w:t>
      </w:r>
      <w:r>
        <w:rPr>
          <w:sz w:val="32"/>
          <w:szCs w:val="32"/>
        </w:rPr>
        <w:fldChar w:fldCharType="end"/>
      </w:r>
      <w:r>
        <w:rPr>
          <w:sz w:val="32"/>
          <w:szCs w:val="32"/>
        </w:rPr>
        <w:fldChar w:fldCharType="end"/>
      </w:r>
    </w:p>
    <w:p>
      <w:pPr>
        <w:pStyle w:val="10"/>
        <w:rPr>
          <w:rFonts w:asciiTheme="minorHAnsi" w:hAnsiTheme="minorHAnsi" w:eastAsiaTheme="minorEastAsia" w:cstheme="minorBidi"/>
          <w:b w:val="0"/>
          <w:bCs w:val="0"/>
          <w:kern w:val="2"/>
        </w:rPr>
      </w:pPr>
      <w:r>
        <w:fldChar w:fldCharType="begin"/>
      </w:r>
      <w:r>
        <w:instrText xml:space="preserve"> HYPERLINK \l "_Toc460947542" </w:instrText>
      </w:r>
      <w:r>
        <w:fldChar w:fldCharType="separate"/>
      </w:r>
      <w:r>
        <w:rPr>
          <w:rStyle w:val="17"/>
        </w:rPr>
        <w:t>八、落实规划保障措施</w:t>
      </w:r>
      <w:r>
        <w:tab/>
      </w:r>
      <w:r>
        <w:fldChar w:fldCharType="begin"/>
      </w:r>
      <w:r>
        <w:instrText xml:space="preserve"> PAGEREF _Toc460947542 \h </w:instrText>
      </w:r>
      <w:r>
        <w:fldChar w:fldCharType="separate"/>
      </w:r>
      <w:r>
        <w:t>49</w:t>
      </w:r>
      <w:r>
        <w:fldChar w:fldCharType="end"/>
      </w:r>
      <w:r>
        <w:fldChar w:fldCharType="end"/>
      </w:r>
    </w:p>
    <w:p>
      <w:pPr>
        <w:pStyle w:val="11"/>
        <w:tabs>
          <w:tab w:val="right" w:leader="dot" w:pos="8296"/>
        </w:tabs>
        <w:rPr>
          <w:sz w:val="32"/>
          <w:szCs w:val="32"/>
        </w:rPr>
      </w:pPr>
      <w:r>
        <w:fldChar w:fldCharType="begin"/>
      </w:r>
      <w:r>
        <w:instrText xml:space="preserve"> HYPERLINK \l "_Toc460947543" </w:instrText>
      </w:r>
      <w:r>
        <w:fldChar w:fldCharType="separate"/>
      </w:r>
      <w:r>
        <w:rPr>
          <w:rStyle w:val="17"/>
          <w:sz w:val="32"/>
          <w:szCs w:val="32"/>
        </w:rPr>
        <w:t>（一）发挥党的领导核心作用</w:t>
      </w:r>
      <w:r>
        <w:rPr>
          <w:sz w:val="32"/>
          <w:szCs w:val="32"/>
        </w:rPr>
        <w:tab/>
      </w:r>
      <w:r>
        <w:rPr>
          <w:sz w:val="32"/>
          <w:szCs w:val="32"/>
        </w:rPr>
        <w:fldChar w:fldCharType="begin"/>
      </w:r>
      <w:r>
        <w:rPr>
          <w:sz w:val="32"/>
          <w:szCs w:val="32"/>
        </w:rPr>
        <w:instrText xml:space="preserve"> PAGEREF _Toc460947543 \h </w:instrText>
      </w:r>
      <w:r>
        <w:rPr>
          <w:sz w:val="32"/>
          <w:szCs w:val="32"/>
        </w:rPr>
        <w:fldChar w:fldCharType="separate"/>
      </w:r>
      <w:r>
        <w:rPr>
          <w:sz w:val="32"/>
          <w:szCs w:val="32"/>
        </w:rPr>
        <w:t>49</w:t>
      </w:r>
      <w:r>
        <w:rPr>
          <w:sz w:val="32"/>
          <w:szCs w:val="32"/>
        </w:rPr>
        <w:fldChar w:fldCharType="end"/>
      </w:r>
      <w:r>
        <w:rPr>
          <w:sz w:val="32"/>
          <w:szCs w:val="32"/>
        </w:rPr>
        <w:fldChar w:fldCharType="end"/>
      </w:r>
    </w:p>
    <w:p>
      <w:pPr>
        <w:pStyle w:val="11"/>
        <w:tabs>
          <w:tab w:val="right" w:leader="dot" w:pos="8296"/>
        </w:tabs>
        <w:rPr>
          <w:sz w:val="32"/>
          <w:szCs w:val="32"/>
        </w:rPr>
      </w:pPr>
      <w:r>
        <w:fldChar w:fldCharType="begin"/>
      </w:r>
      <w:r>
        <w:instrText xml:space="preserve"> HYPERLINK \l "_Toc460947544" </w:instrText>
      </w:r>
      <w:r>
        <w:fldChar w:fldCharType="separate"/>
      </w:r>
      <w:r>
        <w:rPr>
          <w:rStyle w:val="17"/>
          <w:sz w:val="32"/>
          <w:szCs w:val="32"/>
        </w:rPr>
        <w:t>（二）完善规划实施协调机制</w:t>
      </w:r>
      <w:r>
        <w:rPr>
          <w:sz w:val="32"/>
          <w:szCs w:val="32"/>
        </w:rPr>
        <w:tab/>
      </w:r>
      <w:r>
        <w:rPr>
          <w:sz w:val="32"/>
          <w:szCs w:val="32"/>
        </w:rPr>
        <w:fldChar w:fldCharType="begin"/>
      </w:r>
      <w:r>
        <w:rPr>
          <w:sz w:val="32"/>
          <w:szCs w:val="32"/>
        </w:rPr>
        <w:instrText xml:space="preserve"> PAGEREF _Toc460947544 \h </w:instrText>
      </w:r>
      <w:r>
        <w:rPr>
          <w:sz w:val="32"/>
          <w:szCs w:val="32"/>
        </w:rPr>
        <w:fldChar w:fldCharType="separate"/>
      </w:r>
      <w:r>
        <w:rPr>
          <w:sz w:val="32"/>
          <w:szCs w:val="32"/>
        </w:rPr>
        <w:t>50</w:t>
      </w:r>
      <w:r>
        <w:rPr>
          <w:sz w:val="32"/>
          <w:szCs w:val="32"/>
        </w:rPr>
        <w:fldChar w:fldCharType="end"/>
      </w:r>
      <w:r>
        <w:rPr>
          <w:sz w:val="32"/>
          <w:szCs w:val="32"/>
        </w:rPr>
        <w:fldChar w:fldCharType="end"/>
      </w:r>
    </w:p>
    <w:p>
      <w:pPr>
        <w:pStyle w:val="11"/>
        <w:tabs>
          <w:tab w:val="right" w:leader="dot" w:pos="8296"/>
        </w:tabs>
        <w:rPr>
          <w:sz w:val="32"/>
          <w:szCs w:val="32"/>
        </w:rPr>
      </w:pPr>
      <w:r>
        <w:fldChar w:fldCharType="begin"/>
      </w:r>
      <w:r>
        <w:instrText xml:space="preserve"> HYPERLINK \l "_Toc460947545" </w:instrText>
      </w:r>
      <w:r>
        <w:fldChar w:fldCharType="separate"/>
      </w:r>
      <w:r>
        <w:rPr>
          <w:rStyle w:val="17"/>
          <w:sz w:val="32"/>
          <w:szCs w:val="32"/>
        </w:rPr>
        <w:t>（三）强化建设资金来源保障</w:t>
      </w:r>
      <w:r>
        <w:rPr>
          <w:sz w:val="32"/>
          <w:szCs w:val="32"/>
        </w:rPr>
        <w:tab/>
      </w:r>
      <w:r>
        <w:rPr>
          <w:sz w:val="32"/>
          <w:szCs w:val="32"/>
        </w:rPr>
        <w:fldChar w:fldCharType="begin"/>
      </w:r>
      <w:r>
        <w:rPr>
          <w:sz w:val="32"/>
          <w:szCs w:val="32"/>
        </w:rPr>
        <w:instrText xml:space="preserve"> PAGEREF _Toc460947545 \h </w:instrText>
      </w:r>
      <w:r>
        <w:rPr>
          <w:sz w:val="32"/>
          <w:szCs w:val="32"/>
        </w:rPr>
        <w:fldChar w:fldCharType="separate"/>
      </w:r>
      <w:r>
        <w:rPr>
          <w:sz w:val="32"/>
          <w:szCs w:val="32"/>
        </w:rPr>
        <w:t>51</w:t>
      </w:r>
      <w:r>
        <w:rPr>
          <w:sz w:val="32"/>
          <w:szCs w:val="32"/>
        </w:rPr>
        <w:fldChar w:fldCharType="end"/>
      </w:r>
      <w:r>
        <w:rPr>
          <w:sz w:val="32"/>
          <w:szCs w:val="32"/>
        </w:rPr>
        <w:fldChar w:fldCharType="end"/>
      </w:r>
    </w:p>
    <w:p>
      <w:pPr>
        <w:pStyle w:val="11"/>
        <w:tabs>
          <w:tab w:val="right" w:leader="dot" w:pos="8296"/>
        </w:tabs>
        <w:rPr>
          <w:sz w:val="32"/>
          <w:szCs w:val="32"/>
        </w:rPr>
      </w:pPr>
      <w:r>
        <w:fldChar w:fldCharType="begin"/>
      </w:r>
      <w:r>
        <w:instrText xml:space="preserve"> HYPERLINK \l "_Toc460947546" </w:instrText>
      </w:r>
      <w:r>
        <w:fldChar w:fldCharType="separate"/>
      </w:r>
      <w:r>
        <w:rPr>
          <w:rStyle w:val="17"/>
          <w:sz w:val="32"/>
          <w:szCs w:val="32"/>
        </w:rPr>
        <w:t>（四）科学考核监督实施效果</w:t>
      </w:r>
      <w:r>
        <w:rPr>
          <w:sz w:val="32"/>
          <w:szCs w:val="32"/>
        </w:rPr>
        <w:tab/>
      </w:r>
      <w:r>
        <w:rPr>
          <w:sz w:val="32"/>
          <w:szCs w:val="32"/>
        </w:rPr>
        <w:fldChar w:fldCharType="begin"/>
      </w:r>
      <w:r>
        <w:rPr>
          <w:sz w:val="32"/>
          <w:szCs w:val="32"/>
        </w:rPr>
        <w:instrText xml:space="preserve"> PAGEREF _Toc460947546 \h </w:instrText>
      </w:r>
      <w:r>
        <w:rPr>
          <w:sz w:val="32"/>
          <w:szCs w:val="32"/>
        </w:rPr>
        <w:fldChar w:fldCharType="separate"/>
      </w:r>
      <w:r>
        <w:rPr>
          <w:sz w:val="32"/>
          <w:szCs w:val="32"/>
        </w:rPr>
        <w:t>51</w:t>
      </w:r>
      <w:r>
        <w:rPr>
          <w:sz w:val="32"/>
          <w:szCs w:val="32"/>
        </w:rPr>
        <w:fldChar w:fldCharType="end"/>
      </w:r>
      <w:r>
        <w:rPr>
          <w:sz w:val="32"/>
          <w:szCs w:val="32"/>
        </w:rPr>
        <w:fldChar w:fldCharType="end"/>
      </w:r>
    </w:p>
    <w:p>
      <w:pPr>
        <w:spacing w:line="480" w:lineRule="exact"/>
        <w:ind w:firstLine="602"/>
        <w:jc w:val="center"/>
        <w:rPr>
          <w:rFonts w:ascii="黑体" w:eastAsia="黑体"/>
          <w:b/>
          <w:sz w:val="32"/>
          <w:szCs w:val="32"/>
        </w:rPr>
      </w:pPr>
      <w:r>
        <w:rPr>
          <w:rFonts w:ascii="黑体" w:hAnsi="微软雅黑" w:eastAsia="黑体" w:cs="Times New Roman"/>
          <w:b/>
          <w:bCs/>
          <w:kern w:val="44"/>
          <w:sz w:val="32"/>
          <w:szCs w:val="32"/>
        </w:rPr>
        <w:fldChar w:fldCharType="end"/>
      </w:r>
    </w:p>
    <w:bookmarkEnd w:id="0"/>
    <w:p>
      <w:pPr>
        <w:rPr>
          <w:sz w:val="32"/>
          <w:szCs w:val="32"/>
        </w:rPr>
        <w:sectPr>
          <w:footerReference r:id="rId9" w:type="default"/>
          <w:pgSz w:w="11906" w:h="16838"/>
          <w:pgMar w:top="1440" w:right="1800" w:bottom="1440" w:left="1800" w:header="851" w:footer="992" w:gutter="0"/>
          <w:pgNumType w:fmt="upperRoman" w:start="1"/>
          <w:cols w:space="425" w:num="1"/>
          <w:docGrid w:type="lines" w:linePitch="312" w:charSpace="0"/>
        </w:sectPr>
      </w:pPr>
    </w:p>
    <w:p>
      <w:pPr>
        <w:spacing w:line="600" w:lineRule="exact"/>
        <w:ind w:firstLine="640" w:firstLineChars="200"/>
        <w:rPr>
          <w:rFonts w:ascii="仿宋_GB2312" w:hAnsi="仿宋" w:eastAsia="仿宋_GB2312"/>
          <w:sz w:val="32"/>
          <w:szCs w:val="32"/>
        </w:rPr>
      </w:pPr>
      <w:r>
        <w:rPr>
          <w:rFonts w:hint="eastAsia" w:ascii="仿宋_GB2312" w:hAnsi="仿宋" w:eastAsia="仿宋_GB2312"/>
          <w:sz w:val="32"/>
          <w:szCs w:val="32"/>
        </w:rPr>
        <w:t>“十三五”时期是贯彻落实“五大发展”理念</w:t>
      </w:r>
      <w:r>
        <w:rPr>
          <w:rFonts w:ascii="仿宋_GB2312" w:hAnsi="仿宋" w:eastAsia="仿宋_GB2312"/>
          <w:sz w:val="32"/>
          <w:szCs w:val="32"/>
        </w:rPr>
        <w:t>、</w:t>
      </w:r>
      <w:r>
        <w:rPr>
          <w:rFonts w:hint="eastAsia" w:ascii="仿宋_GB2312" w:hAnsi="仿宋" w:eastAsia="仿宋_GB2312"/>
          <w:sz w:val="32"/>
          <w:szCs w:val="32"/>
        </w:rPr>
        <w:t>“四个</w:t>
      </w:r>
      <w:r>
        <w:rPr>
          <w:rFonts w:ascii="仿宋_GB2312" w:hAnsi="仿宋" w:eastAsia="仿宋_GB2312"/>
          <w:sz w:val="32"/>
          <w:szCs w:val="32"/>
        </w:rPr>
        <w:t>全面</w:t>
      </w:r>
      <w:r>
        <w:rPr>
          <w:rFonts w:hint="eastAsia" w:ascii="仿宋_GB2312" w:hAnsi="仿宋" w:eastAsia="仿宋_GB2312"/>
          <w:sz w:val="32"/>
          <w:szCs w:val="32"/>
        </w:rPr>
        <w:t>”战略布局</w:t>
      </w:r>
      <w:r>
        <w:rPr>
          <w:rFonts w:ascii="仿宋_GB2312" w:hAnsi="仿宋" w:eastAsia="仿宋_GB2312"/>
          <w:sz w:val="32"/>
          <w:szCs w:val="32"/>
        </w:rPr>
        <w:t>的关键期，</w:t>
      </w:r>
      <w:r>
        <w:rPr>
          <w:rFonts w:hint="eastAsia" w:ascii="仿宋_GB2312" w:hAnsi="仿宋" w:eastAsia="仿宋_GB2312"/>
          <w:sz w:val="32"/>
          <w:szCs w:val="32"/>
        </w:rPr>
        <w:t>是</w:t>
      </w:r>
      <w:r>
        <w:rPr>
          <w:rFonts w:ascii="仿宋_GB2312" w:hAnsi="仿宋" w:eastAsia="仿宋_GB2312"/>
          <w:sz w:val="32"/>
          <w:szCs w:val="32"/>
        </w:rPr>
        <w:t>全面建成小康社会的决</w:t>
      </w:r>
      <w:r>
        <w:rPr>
          <w:rFonts w:hint="eastAsia" w:ascii="仿宋_GB2312" w:hAnsi="仿宋" w:eastAsia="仿宋_GB2312"/>
          <w:sz w:val="32"/>
          <w:szCs w:val="32"/>
        </w:rPr>
        <w:t>胜期，庞各庄镇将紧抓京津冀</w:t>
      </w:r>
      <w:r>
        <w:rPr>
          <w:rFonts w:ascii="仿宋_GB2312" w:hAnsi="仿宋" w:eastAsia="仿宋_GB2312"/>
          <w:sz w:val="32"/>
          <w:szCs w:val="32"/>
        </w:rPr>
        <w:t>协同发展战略和</w:t>
      </w:r>
      <w:r>
        <w:rPr>
          <w:rFonts w:hint="eastAsia" w:ascii="仿宋_GB2312" w:hAnsi="仿宋" w:eastAsia="仿宋_GB2312"/>
          <w:sz w:val="32"/>
          <w:szCs w:val="32"/>
        </w:rPr>
        <w:t>北京新</w:t>
      </w:r>
      <w:r>
        <w:rPr>
          <w:rFonts w:ascii="仿宋_GB2312" w:hAnsi="仿宋" w:eastAsia="仿宋_GB2312"/>
          <w:sz w:val="32"/>
          <w:szCs w:val="32"/>
        </w:rPr>
        <w:t>机场建设的发展机遇，</w:t>
      </w:r>
      <w:r>
        <w:rPr>
          <w:rFonts w:hint="eastAsia" w:ascii="仿宋_GB2312" w:hAnsi="仿宋" w:eastAsia="仿宋_GB2312"/>
          <w:sz w:val="32"/>
          <w:szCs w:val="32"/>
        </w:rPr>
        <w:t>围绕北京</w:t>
      </w:r>
      <w:r>
        <w:rPr>
          <w:rFonts w:ascii="仿宋_GB2312" w:hAnsi="仿宋" w:eastAsia="仿宋_GB2312"/>
          <w:sz w:val="32"/>
          <w:szCs w:val="32"/>
        </w:rPr>
        <w:t>市“</w:t>
      </w:r>
      <w:r>
        <w:rPr>
          <w:rFonts w:hint="eastAsia" w:ascii="仿宋_GB2312" w:hAnsi="仿宋" w:eastAsia="仿宋_GB2312"/>
          <w:sz w:val="32"/>
          <w:szCs w:val="32"/>
        </w:rPr>
        <w:t>四个</w:t>
      </w:r>
      <w:r>
        <w:rPr>
          <w:rFonts w:ascii="仿宋_GB2312" w:hAnsi="仿宋" w:eastAsia="仿宋_GB2312"/>
          <w:sz w:val="32"/>
          <w:szCs w:val="32"/>
        </w:rPr>
        <w:t>中心”和大兴区</w:t>
      </w:r>
      <w:r>
        <w:rPr>
          <w:rFonts w:hint="eastAsia" w:ascii="仿宋_GB2312" w:hAnsi="仿宋" w:eastAsia="仿宋_GB2312"/>
          <w:sz w:val="32"/>
          <w:szCs w:val="32"/>
        </w:rPr>
        <w:t>“五区定位”</w:t>
      </w:r>
      <w:r>
        <w:rPr>
          <w:rFonts w:ascii="仿宋_GB2312" w:hAnsi="仿宋" w:eastAsia="仿宋_GB2312"/>
          <w:sz w:val="32"/>
          <w:szCs w:val="32"/>
        </w:rPr>
        <w:t>，</w:t>
      </w:r>
      <w:r>
        <w:rPr>
          <w:rFonts w:ascii="仿宋_GB2312" w:hAnsi="仿宋" w:eastAsia="仿宋_GB2312" w:cs="Times New Roman"/>
          <w:sz w:val="32"/>
          <w:szCs w:val="32"/>
        </w:rPr>
        <w:t>全力推进</w:t>
      </w:r>
      <w:r>
        <w:rPr>
          <w:rFonts w:hint="eastAsia" w:ascii="仿宋_GB2312" w:hAnsi="仿宋" w:eastAsia="仿宋_GB2312" w:cs="Times New Roman"/>
          <w:sz w:val="32"/>
          <w:szCs w:val="32"/>
        </w:rPr>
        <w:t>经济发展</w:t>
      </w:r>
      <w:r>
        <w:rPr>
          <w:rFonts w:ascii="仿宋_GB2312" w:hAnsi="仿宋" w:eastAsia="仿宋_GB2312" w:cs="Times New Roman"/>
          <w:sz w:val="32"/>
          <w:szCs w:val="32"/>
        </w:rPr>
        <w:t>、</w:t>
      </w:r>
      <w:r>
        <w:rPr>
          <w:rFonts w:hint="eastAsia" w:ascii="仿宋_GB2312" w:hAnsi="仿宋" w:eastAsia="仿宋_GB2312" w:cs="Times New Roman"/>
          <w:sz w:val="32"/>
          <w:szCs w:val="32"/>
        </w:rPr>
        <w:t>社会治理</w:t>
      </w:r>
      <w:r>
        <w:rPr>
          <w:rFonts w:ascii="仿宋_GB2312" w:hAnsi="仿宋" w:eastAsia="仿宋_GB2312" w:cs="Times New Roman"/>
          <w:sz w:val="32"/>
          <w:szCs w:val="32"/>
        </w:rPr>
        <w:t>、</w:t>
      </w:r>
      <w:r>
        <w:rPr>
          <w:rFonts w:hint="eastAsia" w:ascii="仿宋_GB2312" w:hAnsi="仿宋" w:eastAsia="仿宋_GB2312" w:cs="Times New Roman"/>
          <w:sz w:val="32"/>
          <w:szCs w:val="32"/>
        </w:rPr>
        <w:t>文化建设</w:t>
      </w:r>
      <w:r>
        <w:rPr>
          <w:rFonts w:ascii="仿宋_GB2312" w:hAnsi="仿宋" w:eastAsia="仿宋_GB2312" w:cs="Times New Roman"/>
          <w:sz w:val="32"/>
          <w:szCs w:val="32"/>
        </w:rPr>
        <w:t>、</w:t>
      </w:r>
      <w:r>
        <w:rPr>
          <w:rFonts w:hint="eastAsia" w:ascii="仿宋_GB2312" w:hAnsi="仿宋" w:eastAsia="仿宋_GB2312" w:cs="Times New Roman"/>
          <w:sz w:val="32"/>
          <w:szCs w:val="32"/>
        </w:rPr>
        <w:t>民生福祉</w:t>
      </w:r>
      <w:r>
        <w:rPr>
          <w:rFonts w:ascii="仿宋_GB2312" w:hAnsi="仿宋" w:eastAsia="仿宋_GB2312" w:cs="Times New Roman"/>
          <w:sz w:val="32"/>
          <w:szCs w:val="32"/>
        </w:rPr>
        <w:t>、</w:t>
      </w:r>
      <w:r>
        <w:rPr>
          <w:rFonts w:hint="eastAsia" w:ascii="仿宋_GB2312" w:hAnsi="仿宋" w:eastAsia="仿宋_GB2312" w:cs="Times New Roman"/>
          <w:sz w:val="32"/>
          <w:szCs w:val="32"/>
        </w:rPr>
        <w:t>生态环境等</w:t>
      </w:r>
      <w:r>
        <w:rPr>
          <w:rFonts w:ascii="仿宋_GB2312" w:hAnsi="仿宋" w:eastAsia="仿宋_GB2312" w:cs="Times New Roman"/>
          <w:sz w:val="32"/>
          <w:szCs w:val="32"/>
        </w:rPr>
        <w:t>，</w:t>
      </w:r>
      <w:r>
        <w:rPr>
          <w:rFonts w:hint="eastAsia" w:ascii="仿宋_GB2312" w:hAnsi="仿宋" w:eastAsia="仿宋_GB2312" w:cs="Times New Roman"/>
          <w:sz w:val="32"/>
          <w:szCs w:val="32"/>
        </w:rPr>
        <w:t>努力建设成为“产业高端、环境优美、生活幸福、城乡一体、充满活力”的“北京绿色高端服务区”。</w:t>
      </w:r>
      <w:r>
        <w:rPr>
          <w:rFonts w:hint="eastAsia" w:ascii="仿宋_GB2312" w:hAnsi="仿宋" w:eastAsia="仿宋_GB2312"/>
          <w:sz w:val="32"/>
          <w:szCs w:val="32"/>
        </w:rPr>
        <w:t>依据国家、京津冀、北京市和大兴区的“十三五”规划及相关政策文件编制</w:t>
      </w:r>
      <w:r>
        <w:rPr>
          <w:rFonts w:ascii="仿宋_GB2312" w:hAnsi="仿宋" w:eastAsia="仿宋_GB2312"/>
          <w:sz w:val="32"/>
          <w:szCs w:val="32"/>
        </w:rPr>
        <w:t>《</w:t>
      </w:r>
      <w:r>
        <w:rPr>
          <w:rFonts w:hint="eastAsia" w:ascii="仿宋_GB2312" w:hAnsi="仿宋" w:eastAsia="仿宋_GB2312"/>
          <w:sz w:val="32"/>
          <w:szCs w:val="32"/>
        </w:rPr>
        <w:t>庞各庄镇国民经济和社会发展第十三个五年规划纲要</w:t>
      </w:r>
      <w:r>
        <w:rPr>
          <w:rFonts w:ascii="仿宋_GB2312" w:hAnsi="仿宋" w:eastAsia="仿宋_GB2312"/>
          <w:sz w:val="32"/>
          <w:szCs w:val="32"/>
        </w:rPr>
        <w:t>》，</w:t>
      </w:r>
      <w:r>
        <w:rPr>
          <w:rFonts w:hint="eastAsia" w:ascii="仿宋_GB2312" w:hAnsi="仿宋" w:eastAsia="仿宋_GB2312"/>
          <w:sz w:val="32"/>
          <w:szCs w:val="32"/>
        </w:rPr>
        <w:t>本规划</w:t>
      </w:r>
      <w:r>
        <w:rPr>
          <w:rFonts w:ascii="仿宋_GB2312" w:hAnsi="仿宋" w:eastAsia="仿宋_GB2312"/>
          <w:sz w:val="32"/>
          <w:szCs w:val="32"/>
        </w:rPr>
        <w:t>是庞各庄镇“</w:t>
      </w:r>
      <w:r>
        <w:rPr>
          <w:rFonts w:hint="eastAsia" w:ascii="仿宋_GB2312" w:hAnsi="仿宋" w:eastAsia="仿宋_GB2312"/>
          <w:sz w:val="32"/>
          <w:szCs w:val="32"/>
        </w:rPr>
        <w:t>十三五</w:t>
      </w:r>
      <w:r>
        <w:rPr>
          <w:rFonts w:ascii="仿宋_GB2312" w:hAnsi="仿宋" w:eastAsia="仿宋_GB2312"/>
          <w:sz w:val="32"/>
          <w:szCs w:val="32"/>
        </w:rPr>
        <w:t>”</w:t>
      </w:r>
      <w:r>
        <w:rPr>
          <w:rFonts w:hint="eastAsia" w:ascii="仿宋_GB2312" w:hAnsi="仿宋" w:eastAsia="仿宋_GB2312"/>
          <w:sz w:val="32"/>
          <w:szCs w:val="32"/>
        </w:rPr>
        <w:t>时期</w:t>
      </w:r>
      <w:r>
        <w:rPr>
          <w:rFonts w:ascii="仿宋_GB2312" w:hAnsi="仿宋" w:eastAsia="仿宋_GB2312"/>
          <w:sz w:val="32"/>
          <w:szCs w:val="32"/>
        </w:rPr>
        <w:t>的纲领性文件。</w:t>
      </w:r>
    </w:p>
    <w:p>
      <w:pPr>
        <w:pStyle w:val="2"/>
        <w:jc w:val="left"/>
        <w:rPr>
          <w:sz w:val="36"/>
          <w:szCs w:val="36"/>
        </w:rPr>
      </w:pPr>
      <w:bookmarkStart w:id="1" w:name="_Toc441572500"/>
      <w:bookmarkStart w:id="2" w:name="_Toc437173009"/>
      <w:bookmarkStart w:id="3" w:name="_Toc444603333"/>
      <w:bookmarkStart w:id="4" w:name="_Toc460947511"/>
      <w:r>
        <w:rPr>
          <w:rFonts w:hint="eastAsia"/>
          <w:sz w:val="36"/>
          <w:szCs w:val="36"/>
        </w:rPr>
        <w:t>一、</w:t>
      </w:r>
      <w:bookmarkEnd w:id="1"/>
      <w:bookmarkEnd w:id="2"/>
      <w:r>
        <w:rPr>
          <w:rFonts w:hint="eastAsia"/>
          <w:sz w:val="36"/>
          <w:szCs w:val="36"/>
        </w:rPr>
        <w:t>规划未来发展蓝图</w:t>
      </w:r>
      <w:bookmarkEnd w:id="3"/>
      <w:bookmarkEnd w:id="4"/>
    </w:p>
    <w:p>
      <w:pPr>
        <w:pStyle w:val="3"/>
      </w:pPr>
      <w:bookmarkStart w:id="5" w:name="_Toc460947512"/>
      <w:bookmarkStart w:id="6" w:name="_Toc437173010"/>
      <w:bookmarkStart w:id="7" w:name="_Toc441572501"/>
      <w:bookmarkStart w:id="8" w:name="_Toc444603334"/>
      <w:r>
        <w:rPr>
          <w:rFonts w:hint="eastAsia"/>
        </w:rPr>
        <w:t>（一）“十二五”期间发展</w:t>
      </w:r>
      <w:r>
        <w:t>成就显著</w:t>
      </w:r>
      <w:bookmarkEnd w:id="5"/>
      <w:bookmarkEnd w:id="6"/>
      <w:bookmarkEnd w:id="7"/>
      <w:bookmarkEnd w:id="8"/>
    </w:p>
    <w:p>
      <w:pPr>
        <w:pStyle w:val="12"/>
        <w:spacing w:before="0" w:beforeAutospacing="0" w:after="0" w:afterAutospacing="0" w:line="360" w:lineRule="auto"/>
        <w:ind w:firstLine="803" w:firstLineChars="250"/>
        <w:rPr>
          <w:rFonts w:ascii="仿宋_GB2312" w:hAnsi="仿宋" w:eastAsia="仿宋_GB2312"/>
          <w:sz w:val="32"/>
          <w:szCs w:val="32"/>
        </w:rPr>
      </w:pPr>
      <w:r>
        <w:rPr>
          <w:rFonts w:hint="eastAsia" w:ascii="仿宋_GB2312" w:hAnsi="仿宋" w:eastAsia="仿宋_GB2312"/>
          <w:b/>
          <w:sz w:val="32"/>
          <w:szCs w:val="32"/>
        </w:rPr>
        <w:t>经济综合实力显著增强。</w:t>
      </w:r>
      <w:r>
        <w:rPr>
          <w:rFonts w:hint="eastAsia" w:ascii="仿宋_GB2312" w:hAnsi="仿宋" w:eastAsia="仿宋_GB2312"/>
          <w:sz w:val="32"/>
          <w:szCs w:val="32"/>
        </w:rPr>
        <w:t>“十二五”期间，庞各庄镇经济发展跃上新台阶，综合实力显著增强。2015年，财政收入跨过两亿元台阶，年均增长17%；工业总产值完成59.6亿元，年均增长16%；社会消费品零售总额7.56亿元，年均增长6%。</w:t>
      </w:r>
    </w:p>
    <w:p>
      <w:pPr>
        <w:pStyle w:val="12"/>
        <w:spacing w:before="0" w:beforeAutospacing="0" w:after="0" w:afterAutospacing="0" w:line="360" w:lineRule="auto"/>
        <w:rPr>
          <w:rFonts w:ascii="仿宋_GB2312" w:hAnsi="仿宋" w:eastAsia="仿宋_GB2312"/>
          <w:sz w:val="32"/>
          <w:szCs w:val="32"/>
        </w:rPr>
      </w:pPr>
      <w:r>
        <w:rPr>
          <w:rFonts w:hint="eastAsia" w:ascii="仿宋_GB2312" w:hAnsi="仿宋" w:eastAsia="仿宋_GB2312"/>
          <w:b/>
          <w:sz w:val="32"/>
          <w:szCs w:val="32"/>
        </w:rPr>
        <w:t xml:space="preserve">    转型升级步伐不断加快。“</w:t>
      </w:r>
      <w:r>
        <w:rPr>
          <w:rFonts w:hint="eastAsia" w:ascii="仿宋_GB2312" w:hAnsi="仿宋" w:eastAsia="仿宋_GB2312"/>
          <w:sz w:val="32"/>
          <w:szCs w:val="32"/>
        </w:rPr>
        <w:t>十二五”期间，庞各庄镇以增加高端产业项目为载体，主动转方式、调结构，优化一产，提升二产，做大三产，产业结构进一步优化，有效地实现了三次产业联动发展，经济发展质量和效益显著提升。依托庞各庄高科技农业示范园区、中国西瓜文化创意博览园等重点农业项目，做大特色农业、做强品牌农业。稳步推进传统工业提质增效工程，以产业高端化为抓手，以建设“博洛尼都市工业设计园”为契机，优先发展以家居设计、装备设计、服饰设计和食品设计为重点的都市工业设计产业。加快发展以梨花村、龙熙温泉等为代表的文化旅游、体育休闲健身及薛营特色餐饮等现代服务业，抢抓新航城建设机遇，加速推进临空高端服务区建设，消费型休闲服务业和高端服务业发展势头强劲。</w:t>
      </w:r>
    </w:p>
    <w:p>
      <w:pPr>
        <w:pStyle w:val="12"/>
        <w:spacing w:before="0" w:beforeAutospacing="0" w:after="0" w:afterAutospacing="0" w:line="360" w:lineRule="auto"/>
        <w:rPr>
          <w:rFonts w:ascii="仿宋_GB2312" w:hAnsi="仿宋" w:eastAsia="仿宋_GB2312"/>
          <w:sz w:val="32"/>
          <w:szCs w:val="32"/>
        </w:rPr>
      </w:pPr>
      <w:r>
        <w:rPr>
          <w:rFonts w:ascii="仿宋_GB2312" w:hAnsi="仿宋" w:eastAsia="仿宋_GB2312"/>
          <w:b/>
          <w:sz w:val="32"/>
          <w:szCs w:val="32"/>
        </w:rPr>
        <w:t xml:space="preserve">    </w:t>
      </w:r>
      <w:r>
        <w:rPr>
          <w:rFonts w:hint="eastAsia" w:ascii="仿宋_GB2312" w:hAnsi="仿宋" w:eastAsia="仿宋_GB2312"/>
          <w:b/>
          <w:sz w:val="32"/>
          <w:szCs w:val="32"/>
        </w:rPr>
        <w:t>基础设施体系更加完善。</w:t>
      </w:r>
      <w:r>
        <w:rPr>
          <w:rFonts w:hint="eastAsia" w:ascii="仿宋_GB2312" w:hAnsi="仿宋" w:eastAsia="仿宋_GB2312"/>
          <w:sz w:val="32"/>
          <w:szCs w:val="32"/>
        </w:rPr>
        <w:t>“十二五”期间，庞各庄镇进一步强化基础设施建设，全镇的道路、供热、供气、水利、信息等基础设施日益完善，城镇功能逐步优化，城乡一体化发展能力不断增强。同时，全面加强了环境整治和建设工作，全镇环境总体形象不断提升, 城乡整体面貌明显改观。</w:t>
      </w:r>
    </w:p>
    <w:p>
      <w:pPr>
        <w:pStyle w:val="12"/>
        <w:spacing w:before="0" w:beforeAutospacing="0" w:after="0" w:afterAutospacing="0" w:line="360" w:lineRule="auto"/>
        <w:ind w:firstLine="643" w:firstLineChars="200"/>
        <w:rPr>
          <w:rFonts w:ascii="仿宋_GB2312" w:hAnsi="仿宋" w:eastAsia="仿宋_GB2312"/>
          <w:sz w:val="32"/>
          <w:szCs w:val="32"/>
        </w:rPr>
      </w:pPr>
      <w:r>
        <w:rPr>
          <w:rFonts w:hint="eastAsia" w:ascii="仿宋_GB2312" w:hAnsi="仿宋" w:eastAsia="仿宋_GB2312"/>
          <w:b/>
          <w:sz w:val="32"/>
          <w:szCs w:val="32"/>
        </w:rPr>
        <w:t>社会民生事业和谐发展。“</w:t>
      </w:r>
      <w:r>
        <w:rPr>
          <w:rFonts w:hint="eastAsia" w:ascii="仿宋_GB2312" w:hAnsi="仿宋" w:eastAsia="仿宋_GB2312"/>
          <w:sz w:val="32"/>
          <w:szCs w:val="32"/>
        </w:rPr>
        <w:t>十二五”期间，庞各庄镇牢固树立人本理念和民生意识，统筹发展社会各项事业，让群众最大限度地共享发展成果。城乡居民收入稳步增长，就业、社保等基本民生保障稳步提升，截止“十二五”末，庞各庄镇参加新型农村合作医疗人数累计 31580人，参合率达到100%；全镇参加城乡居民养老保险人数累计13587人，参保覆盖率达到98%；城镇登记失业率1.0%。教育、医疗、住房等配套设施和服务得到明显改善，医疗卫生服务能力不断提高。群众文化体育生活不断丰富。</w:t>
      </w:r>
    </w:p>
    <w:p>
      <w:pPr>
        <w:pStyle w:val="12"/>
        <w:spacing w:before="0" w:beforeAutospacing="0" w:line="360" w:lineRule="auto"/>
        <w:ind w:firstLine="560"/>
        <w:rPr>
          <w:rFonts w:ascii="仿宋_GB2312" w:hAnsi="仿宋" w:eastAsia="仿宋_GB2312"/>
          <w:sz w:val="32"/>
          <w:szCs w:val="32"/>
        </w:rPr>
      </w:pPr>
      <w:r>
        <w:rPr>
          <w:rFonts w:hint="eastAsia" w:ascii="仿宋_GB2312" w:hAnsi="仿宋" w:eastAsia="仿宋_GB2312"/>
          <w:b/>
          <w:sz w:val="32"/>
          <w:szCs w:val="32"/>
        </w:rPr>
        <w:t>社会精细化管理水平大幅提升。“</w:t>
      </w:r>
      <w:r>
        <w:rPr>
          <w:rFonts w:hint="eastAsia" w:ascii="仿宋_GB2312" w:hAnsi="仿宋" w:eastAsia="仿宋_GB2312"/>
          <w:sz w:val="32"/>
          <w:szCs w:val="32"/>
        </w:rPr>
        <w:t>十二五”期间，庞各庄镇通过智慧城市建设推动社会管理模式创新发展，社区治理和社会管理更加精细化。积极开展拆违打非、流动人口管控等专项整治行动，加强村庄社区化管理，严格管控外来流动人口，地区和谐稳定态势不断巩固。以“智汇安全”为抓手，建立城镇智能化安全管理平台，实施51个安全促进项目，创建北京市安全社区和全国安全社区，安全隐患整改率达到100%，实现了安全管理“全覆盖”。积极开展网格化管理，通过构建“中枢指挥、三级辐射、五化推进”的精细化网格管理模式，在全镇建成“镇、村、组三级信息化网格管理平台”，大幅提高了社会管理效率。</w:t>
      </w:r>
    </w:p>
    <w:p>
      <w:pPr>
        <w:pStyle w:val="21"/>
        <w:spacing w:before="156" w:beforeLines="50" w:after="156" w:afterLines="50" w:line="276" w:lineRule="auto"/>
        <w:ind w:firstLine="640"/>
        <w:rPr>
          <w:rFonts w:ascii="仿宋_GB2312" w:hAnsi="仿宋" w:eastAsia="仿宋_GB2312" w:cs="宋体"/>
          <w:kern w:val="0"/>
          <w:sz w:val="32"/>
          <w:szCs w:val="32"/>
        </w:rPr>
      </w:pPr>
      <w:r>
        <w:rPr>
          <w:rFonts w:hint="eastAsia" w:ascii="仿宋_GB2312" w:hAnsi="仿宋" w:eastAsia="仿宋_GB2312" w:cs="宋体"/>
          <w:b/>
          <w:kern w:val="0"/>
          <w:sz w:val="32"/>
          <w:szCs w:val="32"/>
        </w:rPr>
        <w:t>生态</w:t>
      </w:r>
      <w:r>
        <w:rPr>
          <w:rFonts w:ascii="仿宋_GB2312" w:hAnsi="仿宋" w:eastAsia="仿宋_GB2312" w:cs="宋体"/>
          <w:b/>
          <w:kern w:val="0"/>
          <w:sz w:val="32"/>
          <w:szCs w:val="32"/>
        </w:rPr>
        <w:t>环境建设取得显著成效。</w:t>
      </w:r>
      <w:r>
        <w:rPr>
          <w:rFonts w:ascii="仿宋_GB2312" w:hAnsi="仿宋" w:eastAsia="仿宋_GB2312" w:cs="宋体"/>
          <w:kern w:val="0"/>
          <w:sz w:val="32"/>
          <w:szCs w:val="32"/>
        </w:rPr>
        <w:t>一是，全镇范围内生态环境进一步优化。</w:t>
      </w:r>
      <w:r>
        <w:rPr>
          <w:rFonts w:hint="eastAsia" w:ascii="仿宋_GB2312" w:hAnsi="仿宋" w:eastAsia="仿宋_GB2312" w:cs="宋体"/>
          <w:kern w:val="0"/>
          <w:sz w:val="32"/>
          <w:szCs w:val="32"/>
        </w:rPr>
        <w:t>环境提升和百家特色优美庭院升级改造工程进展顺利，完成永兴河文化休闲公园建设，推进小加路、左堤路（庞各庄段）和芦求路（庞各庄段）主干道景观提升工程进展顺利。“两园一工程”建设进展顺利，先后获得“</w:t>
      </w:r>
      <w:r>
        <w:rPr>
          <w:rFonts w:ascii="仿宋_GB2312" w:hAnsi="仿宋" w:eastAsia="仿宋_GB2312" w:cs="宋体"/>
          <w:kern w:val="0"/>
          <w:sz w:val="32"/>
          <w:szCs w:val="32"/>
        </w:rPr>
        <w:t>2013年度首都城市环境建设样板单位”、“2014首都绿化美化先进集体”、“2014年首都绿色村庄”、“首都环境保护先进集体”和住建部“宜居小镇”荣誉。</w:t>
      </w:r>
      <w:r>
        <w:rPr>
          <w:rFonts w:hint="eastAsia" w:ascii="仿宋_GB2312" w:hAnsi="仿宋" w:eastAsia="仿宋_GB2312" w:cs="宋体"/>
          <w:kern w:val="0"/>
          <w:sz w:val="32"/>
          <w:szCs w:val="32"/>
        </w:rPr>
        <w:t>二是</w:t>
      </w:r>
      <w:r>
        <w:rPr>
          <w:rFonts w:ascii="仿宋_GB2312" w:hAnsi="仿宋" w:eastAsia="仿宋_GB2312" w:cs="宋体"/>
          <w:kern w:val="0"/>
          <w:sz w:val="32"/>
          <w:szCs w:val="32"/>
        </w:rPr>
        <w:t>，</w:t>
      </w:r>
      <w:r>
        <w:rPr>
          <w:rFonts w:hint="eastAsia" w:ascii="仿宋_GB2312" w:hAnsi="仿宋" w:eastAsia="仿宋_GB2312" w:cs="宋体"/>
          <w:kern w:val="0"/>
          <w:sz w:val="32"/>
          <w:szCs w:val="32"/>
        </w:rPr>
        <w:t>全镇水体和大气污染防控工作多面展开。河道治理工作进展顺利，严格查处河道周边垃圾倾倒、污水直排等问题。节能减排工作进展顺利，对重点排污企业实施减排、限产措施，取缔镇内</w:t>
      </w:r>
      <w:r>
        <w:rPr>
          <w:rFonts w:ascii="仿宋_GB2312" w:hAnsi="仿宋" w:eastAsia="仿宋_GB2312" w:cs="宋体"/>
          <w:kern w:val="0"/>
          <w:sz w:val="32"/>
          <w:szCs w:val="32"/>
        </w:rPr>
        <w:t>1蒸</w:t>
      </w:r>
      <w:r>
        <w:rPr>
          <w:rFonts w:hint="eastAsia" w:ascii="仿宋_GB2312" w:hAnsi="仿宋" w:eastAsia="仿宋_GB2312" w:cs="宋体"/>
          <w:kern w:val="0"/>
          <w:sz w:val="32"/>
          <w:szCs w:val="32"/>
        </w:rPr>
        <w:t>吨以下锅炉企业，清理小煤厂</w:t>
      </w:r>
      <w:r>
        <w:rPr>
          <w:rFonts w:ascii="仿宋_GB2312" w:hAnsi="仿宋" w:eastAsia="仿宋_GB2312" w:cs="宋体"/>
          <w:kern w:val="0"/>
          <w:sz w:val="32"/>
          <w:szCs w:val="32"/>
        </w:rPr>
        <w:t>8家，严查露天焚烧和街头</w:t>
      </w:r>
      <w:r>
        <w:rPr>
          <w:rFonts w:hint="eastAsia" w:ascii="仿宋_GB2312" w:hAnsi="仿宋" w:eastAsia="仿宋_GB2312" w:cs="宋体"/>
          <w:kern w:val="0"/>
          <w:sz w:val="32"/>
          <w:szCs w:val="32"/>
        </w:rPr>
        <w:t>无照售煤等行为，对重点排污企业实施减排、限产措施，取得了显著效果。三是</w:t>
      </w:r>
      <w:r>
        <w:rPr>
          <w:rFonts w:ascii="仿宋_GB2312" w:hAnsi="仿宋" w:eastAsia="仿宋_GB2312" w:cs="宋体"/>
          <w:kern w:val="0"/>
          <w:sz w:val="32"/>
          <w:szCs w:val="32"/>
        </w:rPr>
        <w:t>，</w:t>
      </w:r>
      <w:r>
        <w:rPr>
          <w:rFonts w:hint="eastAsia" w:ascii="仿宋_GB2312" w:hAnsi="仿宋" w:eastAsia="仿宋_GB2312" w:cs="宋体"/>
          <w:kern w:val="0"/>
          <w:sz w:val="32"/>
          <w:szCs w:val="32"/>
        </w:rPr>
        <w:t>防控机制逐步建立。制定《庞各庄镇渣土运输车辆专项整治工作方案》，形成对永定河沿岸的赵村等</w:t>
      </w:r>
      <w:r>
        <w:rPr>
          <w:rFonts w:ascii="仿宋_GB2312" w:hAnsi="仿宋" w:eastAsia="仿宋_GB2312" w:cs="宋体"/>
          <w:kern w:val="0"/>
          <w:sz w:val="32"/>
          <w:szCs w:val="32"/>
        </w:rPr>
        <w:t>14个村的渣土运输、遗撒，偷盗沙土，非法填埋现象进行检查、巡视机制。</w:t>
      </w:r>
    </w:p>
    <w:p>
      <w:pPr>
        <w:pStyle w:val="12"/>
        <w:spacing w:line="360" w:lineRule="auto"/>
        <w:ind w:firstLine="803" w:firstLineChars="250"/>
        <w:rPr>
          <w:rFonts w:ascii="仿宋_GB2312" w:hAnsi="仿宋" w:eastAsia="仿宋_GB2312"/>
          <w:sz w:val="32"/>
          <w:szCs w:val="32"/>
        </w:rPr>
      </w:pPr>
      <w:r>
        <w:rPr>
          <w:rFonts w:hint="eastAsia" w:ascii="仿宋_GB2312" w:hAnsi="仿宋" w:eastAsia="仿宋_GB2312"/>
          <w:b/>
          <w:sz w:val="32"/>
          <w:szCs w:val="32"/>
        </w:rPr>
        <w:t>体制机制改革纵深推进。“</w:t>
      </w:r>
      <w:r>
        <w:rPr>
          <w:rFonts w:hint="eastAsia" w:ascii="仿宋_GB2312" w:hAnsi="仿宋" w:eastAsia="仿宋_GB2312"/>
          <w:sz w:val="32"/>
          <w:szCs w:val="32"/>
        </w:rPr>
        <w:t>十二五”期间，庞各庄镇把全面深化改革、全面依法行政作为基本工作遵循，依法依规进行体制机制创新，最大限度地释放改革红利。不断深化政府服务意识，创新政府服务机制，进一步清理和规范行政审批项目，落实行政审批制度改革；对涉及群众利益和公共政策的事项实行办事公开，加大政务公开力度；加强电子政务建设，为企业发展和群众办事提供更加便捷、高效的服务。创新工作推进机制，建立了党组织领导、居民自我管理和社区服务的“三位一体”模式，实现党组织管理、居民服务、事务管理全覆盖。</w:t>
      </w:r>
    </w:p>
    <w:p>
      <w:pPr>
        <w:pStyle w:val="3"/>
      </w:pPr>
      <w:bookmarkStart w:id="9" w:name="_Toc460947513"/>
      <w:bookmarkStart w:id="10" w:name="_Toc444603335"/>
      <w:r>
        <w:rPr>
          <w:rFonts w:hint="eastAsia"/>
        </w:rPr>
        <w:t>（二）“十三五”时期</w:t>
      </w:r>
      <w:r>
        <w:t>面临</w:t>
      </w:r>
      <w:r>
        <w:rPr>
          <w:rFonts w:hint="eastAsia"/>
        </w:rPr>
        <w:t>重大</w:t>
      </w:r>
      <w:r>
        <w:t>发展机遇</w:t>
      </w:r>
      <w:bookmarkEnd w:id="9"/>
      <w:bookmarkEnd w:id="10"/>
    </w:p>
    <w:p>
      <w:pPr>
        <w:pStyle w:val="21"/>
        <w:spacing w:before="156" w:beforeLines="50"/>
        <w:ind w:firstLine="640"/>
        <w:rPr>
          <w:rFonts w:ascii="仿宋_GB2312" w:hAnsi="仿宋" w:eastAsia="仿宋_GB2312"/>
          <w:sz w:val="32"/>
          <w:szCs w:val="32"/>
        </w:rPr>
      </w:pPr>
      <w:r>
        <w:rPr>
          <w:rFonts w:hint="eastAsia" w:ascii="仿宋_GB2312" w:hAnsi="仿宋" w:eastAsia="仿宋_GB2312" w:cs="宋体"/>
          <w:b/>
          <w:bCs/>
          <w:kern w:val="0"/>
          <w:sz w:val="32"/>
          <w:szCs w:val="32"/>
        </w:rPr>
        <w:t>京津冀协同发展战略带来发展新契机。</w:t>
      </w:r>
      <w:r>
        <w:rPr>
          <w:rFonts w:hint="eastAsia" w:ascii="仿宋_GB2312" w:hAnsi="仿宋" w:eastAsia="仿宋_GB2312"/>
          <w:sz w:val="32"/>
          <w:szCs w:val="32"/>
        </w:rPr>
        <w:t>庞各庄镇位于北京南中轴延长线，是北京面向廊坊、保定等城市的核心交通运输轴，随着北京各区向河北南部产业转移力度的不断加大，庞各庄镇作为北京与河北多市协同发展的重要节点，迎来新的发展契机。京津冀规划中“交通一体化、生态环境保护、产业升级转移”三项重点任务也是庞各庄镇对接京津冀迫切需要完成的重要工作。因此，京津冀协同发展战略为庞各庄镇与京津冀周边区域产业合作、交通互联、生态共治等方面提供了合作发展的契机。</w:t>
      </w:r>
    </w:p>
    <w:p>
      <w:pPr>
        <w:pStyle w:val="12"/>
        <w:spacing w:before="0" w:beforeAutospacing="0" w:after="0" w:afterAutospacing="0" w:line="360" w:lineRule="auto"/>
        <w:ind w:firstLine="643" w:firstLineChars="200"/>
        <w:rPr>
          <w:rFonts w:ascii="仿宋_GB2312" w:hAnsi="仿宋" w:eastAsia="仿宋_GB2312"/>
          <w:sz w:val="32"/>
          <w:szCs w:val="32"/>
        </w:rPr>
      </w:pPr>
      <w:r>
        <w:rPr>
          <w:rFonts w:ascii="仿宋_GB2312" w:eastAsia="仿宋_GB2312"/>
          <w:b/>
          <w:sz w:val="32"/>
          <w:szCs w:val="32"/>
        </w:rPr>
        <w:t>北京新机场建设</w:t>
      </w:r>
      <w:r>
        <w:rPr>
          <w:rFonts w:hint="eastAsia" w:ascii="仿宋_GB2312" w:eastAsia="仿宋_GB2312"/>
          <w:b/>
          <w:sz w:val="32"/>
          <w:szCs w:val="32"/>
        </w:rPr>
        <w:t>带来巨大</w:t>
      </w:r>
      <w:r>
        <w:rPr>
          <w:rFonts w:ascii="仿宋_GB2312" w:eastAsia="仿宋_GB2312"/>
          <w:b/>
          <w:sz w:val="32"/>
          <w:szCs w:val="32"/>
        </w:rPr>
        <w:t>机遇</w:t>
      </w:r>
      <w:r>
        <w:rPr>
          <w:rFonts w:hint="eastAsia" w:ascii="仿宋_GB2312" w:eastAsia="仿宋_GB2312"/>
          <w:b/>
          <w:sz w:val="32"/>
          <w:szCs w:val="32"/>
        </w:rPr>
        <w:t>。</w:t>
      </w:r>
      <w:r>
        <w:rPr>
          <w:rFonts w:hint="eastAsia" w:ascii="仿宋_GB2312" w:hAnsi="仿宋" w:eastAsia="仿宋_GB2312"/>
          <w:sz w:val="32"/>
          <w:szCs w:val="32"/>
        </w:rPr>
        <w:t>围绕北京新机场建设，大兴区将大力发展临空经济，培育促进京津冀特别是大兴区发展的新增长极，给庞各庄镇带来巨大发展机遇。一方面，庞各庄镇可以积极参与到机场周边区域性服务中心建设中，包括临空商贸、民航综合服务、民航总部经济、临空高新技术产业等；另一方面，新航城建设将带来空间重构和产业重构，承担疏解北京中心城区的功能，为庞各庄镇承接北京主城区的教育、医疗及新兴产业等功能转移提供了机遇。</w:t>
      </w:r>
    </w:p>
    <w:p>
      <w:pPr>
        <w:pStyle w:val="12"/>
        <w:spacing w:before="0" w:beforeAutospacing="0" w:after="0" w:afterAutospacing="0" w:line="360" w:lineRule="auto"/>
        <w:ind w:firstLine="643" w:firstLineChars="200"/>
        <w:rPr>
          <w:sz w:val="32"/>
          <w:szCs w:val="32"/>
        </w:rPr>
      </w:pPr>
      <w:r>
        <w:rPr>
          <w:rFonts w:hint="eastAsia" w:ascii="仿宋_GB2312" w:hAnsi="仿宋" w:eastAsia="仿宋_GB2312"/>
          <w:b/>
          <w:bCs/>
          <w:sz w:val="32"/>
          <w:szCs w:val="32"/>
        </w:rPr>
        <w:t>农村集体土地改革试点拓展城乡发展空间。</w:t>
      </w:r>
      <w:r>
        <w:rPr>
          <w:rFonts w:hint="eastAsia" w:ascii="仿宋_GB2312" w:hAnsi="仿宋" w:eastAsia="仿宋_GB2312"/>
          <w:sz w:val="32"/>
          <w:szCs w:val="32"/>
        </w:rPr>
        <w:t>大兴区农村集体土地改革试点为庞各庄镇拓展了城乡发展的空间。一方面，集体经营性建设用地入市试点方案</w:t>
      </w:r>
      <w:r>
        <w:rPr>
          <w:rFonts w:hint="eastAsia" w:ascii="仿宋_GB2312" w:eastAsia="仿宋_GB2312"/>
          <w:sz w:val="32"/>
          <w:szCs w:val="32"/>
        </w:rPr>
        <w:t>将有效破解庞各庄镇空间资源紧缺等发展难题,</w:t>
      </w:r>
      <w:r>
        <w:rPr>
          <w:rFonts w:hint="eastAsia" w:ascii="仿宋_GB2312" w:hAnsi="仿宋" w:eastAsia="仿宋_GB2312"/>
          <w:sz w:val="32"/>
          <w:szCs w:val="32"/>
        </w:rPr>
        <w:t>直接缓解庞各庄镇建设用地不足情况。另一方面，按照目前土地增值预期，试点政策将为被征地农民带来更多的经济效益，会改变其生产生活方式，尤其在消费理念、就业观念、居住形态等方面产生质的变化，有利于加快推进新市镇建设步伐。</w:t>
      </w:r>
    </w:p>
    <w:p>
      <w:pPr>
        <w:pStyle w:val="12"/>
        <w:spacing w:before="0" w:beforeAutospacing="0" w:after="0" w:afterAutospacing="0" w:line="360" w:lineRule="auto"/>
        <w:ind w:firstLine="561"/>
        <w:rPr>
          <w:rFonts w:ascii="仿宋_GB2312" w:hAnsi="仿宋" w:eastAsia="仿宋_GB2312"/>
          <w:sz w:val="32"/>
          <w:szCs w:val="32"/>
        </w:rPr>
      </w:pPr>
      <w:bookmarkStart w:id="11" w:name="_Toc441572510"/>
      <w:r>
        <w:rPr>
          <w:rFonts w:hint="eastAsia" w:ascii="仿宋_GB2312" w:hAnsi="仿宋" w:eastAsia="仿宋_GB2312"/>
          <w:b/>
          <w:sz w:val="32"/>
          <w:szCs w:val="32"/>
        </w:rPr>
        <w:t>大兴区新型城镇化综合试点推进城乡一体发展</w:t>
      </w:r>
      <w:bookmarkEnd w:id="11"/>
      <w:r>
        <w:rPr>
          <w:rFonts w:hint="eastAsia" w:ascii="仿宋_GB2312" w:hAnsi="仿宋" w:eastAsia="仿宋_GB2312"/>
          <w:b/>
          <w:sz w:val="32"/>
          <w:szCs w:val="32"/>
        </w:rPr>
        <w:t>。</w:t>
      </w:r>
      <w:r>
        <w:rPr>
          <w:rFonts w:hint="eastAsia" w:ascii="仿宋_GB2312" w:hAnsi="仿宋" w:eastAsia="仿宋_GB2312"/>
          <w:sz w:val="32"/>
          <w:szCs w:val="32"/>
        </w:rPr>
        <w:t>新型城镇化试点要求在</w:t>
      </w:r>
      <w:r>
        <w:rPr>
          <w:rFonts w:ascii="仿宋_GB2312" w:hAnsi="仿宋" w:eastAsia="仿宋_GB2312"/>
          <w:sz w:val="32"/>
          <w:szCs w:val="32"/>
        </w:rPr>
        <w:t>实施过程中，在农民工融入城镇、新生中小城市培育、城市（镇）绿色智能发展、产城融合发展、城市低效用地再开发利用、城市群协同发展机制、带动新农村建设等</w:t>
      </w:r>
      <w:r>
        <w:rPr>
          <w:rFonts w:hint="eastAsia" w:ascii="仿宋_GB2312" w:hAnsi="仿宋" w:eastAsia="仿宋_GB2312"/>
          <w:sz w:val="32"/>
          <w:szCs w:val="32"/>
        </w:rPr>
        <w:t>重点</w:t>
      </w:r>
      <w:r>
        <w:rPr>
          <w:rFonts w:ascii="仿宋_GB2312" w:hAnsi="仿宋" w:eastAsia="仿宋_GB2312"/>
          <w:sz w:val="32"/>
          <w:szCs w:val="32"/>
        </w:rPr>
        <w:t>领域</w:t>
      </w:r>
      <w:r>
        <w:rPr>
          <w:rFonts w:hint="eastAsia" w:ascii="仿宋_GB2312" w:hAnsi="仿宋" w:eastAsia="仿宋_GB2312"/>
          <w:sz w:val="32"/>
          <w:szCs w:val="32"/>
        </w:rPr>
        <w:t>和重要环节做出突破</w:t>
      </w:r>
      <w:r>
        <w:rPr>
          <w:rFonts w:ascii="仿宋_GB2312" w:hAnsi="仿宋" w:eastAsia="仿宋_GB2312"/>
          <w:sz w:val="32"/>
          <w:szCs w:val="32"/>
        </w:rPr>
        <w:t>，</w:t>
      </w:r>
      <w:r>
        <w:rPr>
          <w:rFonts w:hint="eastAsia" w:ascii="仿宋_GB2312" w:hAnsi="仿宋" w:eastAsia="仿宋_GB2312"/>
          <w:sz w:val="32"/>
          <w:szCs w:val="32"/>
        </w:rPr>
        <w:t>这为庞各庄镇</w:t>
      </w:r>
      <w:r>
        <w:rPr>
          <w:rFonts w:ascii="仿宋_GB2312" w:hAnsi="仿宋" w:eastAsia="仿宋_GB2312"/>
          <w:sz w:val="32"/>
          <w:szCs w:val="32"/>
        </w:rPr>
        <w:t>结合本</w:t>
      </w:r>
      <w:r>
        <w:rPr>
          <w:rFonts w:hint="eastAsia" w:ascii="仿宋_GB2312" w:hAnsi="仿宋" w:eastAsia="仿宋_GB2312"/>
          <w:sz w:val="32"/>
          <w:szCs w:val="32"/>
        </w:rPr>
        <w:t>镇</w:t>
      </w:r>
      <w:r>
        <w:rPr>
          <w:rFonts w:ascii="仿宋_GB2312" w:hAnsi="仿宋" w:eastAsia="仿宋_GB2312"/>
          <w:sz w:val="32"/>
          <w:szCs w:val="32"/>
        </w:rPr>
        <w:t>发展实际，积极探索</w:t>
      </w:r>
      <w:r>
        <w:rPr>
          <w:rFonts w:hint="eastAsia" w:ascii="仿宋_GB2312" w:hAnsi="仿宋" w:eastAsia="仿宋_GB2312"/>
          <w:sz w:val="32"/>
          <w:szCs w:val="32"/>
        </w:rPr>
        <w:t>体现庞各庄镇特色的新型城镇化发展模式，加快城乡一体发展提供了新动力和新空间。</w:t>
      </w:r>
    </w:p>
    <w:p>
      <w:pPr>
        <w:pStyle w:val="3"/>
      </w:pPr>
      <w:bookmarkStart w:id="12" w:name="_Toc444603336"/>
      <w:bookmarkStart w:id="13" w:name="_Toc460947514"/>
      <w:r>
        <w:rPr>
          <w:rFonts w:hint="eastAsia"/>
        </w:rPr>
        <w:t>（三）“十三五”时期</w:t>
      </w:r>
      <w:r>
        <w:t>发展的总体思路</w:t>
      </w:r>
      <w:bookmarkEnd w:id="12"/>
      <w:bookmarkEnd w:id="13"/>
    </w:p>
    <w:p>
      <w:pPr>
        <w:pStyle w:val="21"/>
        <w:spacing w:before="156" w:beforeLines="50" w:after="156" w:afterLines="50"/>
        <w:ind w:firstLine="640"/>
        <w:outlineLvl w:val="2"/>
        <w:rPr>
          <w:rFonts w:ascii="仿宋_GB2312" w:hAnsi="仿宋" w:eastAsia="仿宋_GB2312"/>
          <w:b/>
          <w:sz w:val="32"/>
          <w:szCs w:val="32"/>
        </w:rPr>
      </w:pPr>
      <w:r>
        <w:rPr>
          <w:rFonts w:hint="eastAsia" w:ascii="仿宋_GB2312" w:hAnsi="仿宋" w:eastAsia="仿宋_GB2312"/>
          <w:b/>
          <w:sz w:val="32"/>
          <w:szCs w:val="32"/>
        </w:rPr>
        <w:t>1、指导思想</w:t>
      </w:r>
    </w:p>
    <w:p>
      <w:pPr>
        <w:spacing w:line="600" w:lineRule="exact"/>
        <w:ind w:firstLine="640" w:firstLineChars="200"/>
        <w:rPr>
          <w:rFonts w:ascii="仿宋_GB2312" w:hAnsi="仿宋" w:eastAsia="仿宋_GB2312" w:cs="Times New Roman"/>
          <w:sz w:val="32"/>
          <w:szCs w:val="32"/>
        </w:rPr>
      </w:pPr>
      <w:r>
        <w:rPr>
          <w:rFonts w:hint="eastAsia" w:ascii="仿宋_GB2312" w:hAnsi="仿宋" w:eastAsia="仿宋_GB2312" w:cs="Times New Roman"/>
          <w:sz w:val="32"/>
          <w:szCs w:val="32"/>
        </w:rPr>
        <w:t>全面贯彻党的十八大和十八届三中、四中、五中全会精神，深入贯彻习近平总书记系列重要讲话和对北京工作重要指示精神，坚持“创新、协调、绿色、开放、共享”发展理念，全面服务于京津冀协同发展、北京“四个中心”、大兴区“五区定位”的战略部署，围绕大兴区建成“一体化、高端化、国际化的宜居宜业和谐新区”的目标要求，</w:t>
      </w:r>
      <w:r>
        <w:rPr>
          <w:rFonts w:ascii="仿宋_GB2312" w:hAnsi="仿宋" w:eastAsia="仿宋_GB2312"/>
          <w:sz w:val="32"/>
          <w:szCs w:val="32"/>
        </w:rPr>
        <w:t>推动产业升级增效，</w:t>
      </w:r>
      <w:r>
        <w:rPr>
          <w:rFonts w:hint="eastAsia" w:ascii="仿宋_GB2312" w:hAnsi="仿宋" w:eastAsia="仿宋_GB2312" w:cs="Times New Roman"/>
          <w:sz w:val="32"/>
          <w:szCs w:val="32"/>
        </w:rPr>
        <w:t>推进</w:t>
      </w:r>
      <w:r>
        <w:rPr>
          <w:rFonts w:ascii="仿宋_GB2312" w:hAnsi="仿宋" w:eastAsia="仿宋_GB2312" w:cs="Times New Roman"/>
          <w:sz w:val="32"/>
          <w:szCs w:val="32"/>
        </w:rPr>
        <w:t>城乡一体</w:t>
      </w:r>
      <w:r>
        <w:rPr>
          <w:rFonts w:hint="eastAsia" w:ascii="仿宋_GB2312" w:hAnsi="仿宋" w:eastAsia="仿宋_GB2312" w:cs="Times New Roman"/>
          <w:sz w:val="32"/>
          <w:szCs w:val="32"/>
        </w:rPr>
        <w:t>发展</w:t>
      </w:r>
      <w:r>
        <w:rPr>
          <w:rFonts w:ascii="仿宋_GB2312" w:hAnsi="仿宋" w:eastAsia="仿宋_GB2312" w:cs="Times New Roman"/>
          <w:sz w:val="32"/>
          <w:szCs w:val="32"/>
        </w:rPr>
        <w:t>，</w:t>
      </w:r>
      <w:r>
        <w:rPr>
          <w:rFonts w:hint="eastAsia" w:ascii="仿宋_GB2312" w:hAnsi="仿宋" w:eastAsia="仿宋_GB2312" w:cs="Times New Roman"/>
          <w:sz w:val="32"/>
          <w:szCs w:val="32"/>
        </w:rPr>
        <w:t>改善</w:t>
      </w:r>
      <w:r>
        <w:rPr>
          <w:rFonts w:ascii="仿宋_GB2312" w:hAnsi="仿宋" w:eastAsia="仿宋_GB2312" w:cs="Times New Roman"/>
          <w:sz w:val="32"/>
          <w:szCs w:val="32"/>
        </w:rPr>
        <w:t>提升民生福祉，</w:t>
      </w:r>
      <w:r>
        <w:rPr>
          <w:rFonts w:hint="eastAsia" w:ascii="仿宋_GB2312" w:hAnsi="仿宋" w:eastAsia="仿宋_GB2312" w:cs="Times New Roman"/>
          <w:sz w:val="32"/>
          <w:szCs w:val="32"/>
        </w:rPr>
        <w:t>提升</w:t>
      </w:r>
      <w:r>
        <w:rPr>
          <w:rFonts w:ascii="仿宋_GB2312" w:hAnsi="仿宋" w:eastAsia="仿宋_GB2312" w:cs="Times New Roman"/>
          <w:sz w:val="32"/>
          <w:szCs w:val="32"/>
        </w:rPr>
        <w:t>社会治理能力，</w:t>
      </w:r>
      <w:r>
        <w:rPr>
          <w:rFonts w:hint="eastAsia" w:ascii="仿宋_GB2312" w:hAnsi="仿宋" w:eastAsia="仿宋_GB2312" w:cs="Times New Roman"/>
          <w:sz w:val="32"/>
          <w:szCs w:val="32"/>
        </w:rPr>
        <w:t>营造</w:t>
      </w:r>
      <w:r>
        <w:rPr>
          <w:rFonts w:ascii="仿宋_GB2312" w:hAnsi="仿宋" w:eastAsia="仿宋_GB2312" w:cs="Times New Roman"/>
          <w:sz w:val="32"/>
          <w:szCs w:val="32"/>
        </w:rPr>
        <w:t>绿色</w:t>
      </w:r>
      <w:r>
        <w:rPr>
          <w:rFonts w:hint="eastAsia" w:ascii="仿宋_GB2312" w:hAnsi="仿宋" w:eastAsia="仿宋_GB2312" w:cs="Times New Roman"/>
          <w:sz w:val="32"/>
          <w:szCs w:val="32"/>
        </w:rPr>
        <w:t>发展</w:t>
      </w:r>
      <w:r>
        <w:rPr>
          <w:rFonts w:ascii="仿宋_GB2312" w:hAnsi="仿宋" w:eastAsia="仿宋_GB2312" w:cs="Times New Roman"/>
          <w:sz w:val="32"/>
          <w:szCs w:val="32"/>
        </w:rPr>
        <w:t>环境，</w:t>
      </w:r>
      <w:r>
        <w:rPr>
          <w:rFonts w:hint="eastAsia" w:ascii="仿宋_GB2312" w:hAnsi="仿宋" w:eastAsia="仿宋_GB2312" w:cs="Times New Roman"/>
          <w:sz w:val="32"/>
          <w:szCs w:val="32"/>
        </w:rPr>
        <w:t>创新</w:t>
      </w:r>
      <w:r>
        <w:rPr>
          <w:rFonts w:ascii="仿宋_GB2312" w:hAnsi="仿宋" w:eastAsia="仿宋_GB2312" w:cs="Times New Roman"/>
          <w:sz w:val="32"/>
          <w:szCs w:val="32"/>
        </w:rPr>
        <w:t>驱动</w:t>
      </w:r>
      <w:r>
        <w:rPr>
          <w:rFonts w:hint="eastAsia" w:ascii="仿宋_GB2312" w:hAnsi="仿宋" w:eastAsia="仿宋_GB2312" w:cs="Times New Roman"/>
          <w:sz w:val="32"/>
          <w:szCs w:val="32"/>
        </w:rPr>
        <w:t>开放</w:t>
      </w:r>
      <w:r>
        <w:rPr>
          <w:rFonts w:ascii="仿宋_GB2312" w:hAnsi="仿宋" w:eastAsia="仿宋_GB2312" w:cs="Times New Roman"/>
          <w:sz w:val="32"/>
          <w:szCs w:val="32"/>
        </w:rPr>
        <w:t>发展，将庞各庄</w:t>
      </w:r>
      <w:r>
        <w:rPr>
          <w:rFonts w:hint="eastAsia" w:ascii="仿宋_GB2312" w:hAnsi="仿宋" w:eastAsia="仿宋_GB2312" w:cs="Times New Roman"/>
          <w:sz w:val="32"/>
          <w:szCs w:val="32"/>
        </w:rPr>
        <w:t>镇</w:t>
      </w:r>
      <w:r>
        <w:rPr>
          <w:rFonts w:ascii="仿宋_GB2312" w:hAnsi="仿宋" w:eastAsia="仿宋_GB2312" w:cs="Times New Roman"/>
          <w:sz w:val="32"/>
          <w:szCs w:val="32"/>
        </w:rPr>
        <w:t>建成“北京绿色高端服务区”</w:t>
      </w:r>
      <w:r>
        <w:rPr>
          <w:rFonts w:hint="eastAsia" w:ascii="仿宋_GB2312" w:hAnsi="仿宋" w:eastAsia="仿宋_GB2312" w:cs="Times New Roman"/>
          <w:sz w:val="32"/>
          <w:szCs w:val="32"/>
        </w:rPr>
        <w:t>并如期</w:t>
      </w:r>
      <w:r>
        <w:rPr>
          <w:rFonts w:ascii="仿宋_GB2312" w:hAnsi="仿宋" w:eastAsia="仿宋_GB2312" w:cs="Times New Roman"/>
          <w:sz w:val="32"/>
          <w:szCs w:val="32"/>
        </w:rPr>
        <w:t>全面</w:t>
      </w:r>
      <w:r>
        <w:rPr>
          <w:rFonts w:hint="eastAsia" w:ascii="仿宋_GB2312" w:hAnsi="仿宋" w:eastAsia="仿宋_GB2312" w:cs="Times New Roman"/>
          <w:sz w:val="32"/>
          <w:szCs w:val="32"/>
        </w:rPr>
        <w:t>实现</w:t>
      </w:r>
      <w:r>
        <w:rPr>
          <w:rFonts w:ascii="仿宋_GB2312" w:hAnsi="仿宋" w:eastAsia="仿宋_GB2312" w:cs="Times New Roman"/>
          <w:sz w:val="32"/>
          <w:szCs w:val="32"/>
        </w:rPr>
        <w:t>小康社会。</w:t>
      </w:r>
    </w:p>
    <w:p>
      <w:pPr>
        <w:pStyle w:val="21"/>
        <w:spacing w:before="156" w:beforeLines="50" w:after="156" w:afterLines="50"/>
        <w:ind w:firstLine="640"/>
        <w:outlineLvl w:val="2"/>
        <w:rPr>
          <w:rFonts w:ascii="仿宋_GB2312" w:hAnsi="仿宋" w:eastAsia="仿宋_GB2312"/>
          <w:b/>
          <w:sz w:val="32"/>
          <w:szCs w:val="32"/>
        </w:rPr>
      </w:pPr>
      <w:r>
        <w:rPr>
          <w:rFonts w:hint="eastAsia" w:ascii="仿宋_GB2312" w:hAnsi="仿宋" w:eastAsia="仿宋_GB2312"/>
          <w:b/>
          <w:sz w:val="32"/>
          <w:szCs w:val="32"/>
        </w:rPr>
        <w:t>2</w:t>
      </w:r>
      <w:r>
        <w:rPr>
          <w:rFonts w:ascii="仿宋_GB2312" w:hAnsi="仿宋" w:eastAsia="仿宋_GB2312"/>
          <w:b/>
          <w:sz w:val="32"/>
          <w:szCs w:val="32"/>
        </w:rPr>
        <w:t>、总体定位</w:t>
      </w:r>
    </w:p>
    <w:p>
      <w:pPr>
        <w:pStyle w:val="21"/>
        <w:spacing w:before="156" w:beforeLines="50" w:after="156" w:afterLines="50"/>
        <w:ind w:firstLine="640"/>
        <w:rPr>
          <w:rFonts w:ascii="仿宋_GB2312" w:hAnsi="仿宋" w:eastAsia="仿宋_GB2312"/>
          <w:b/>
          <w:sz w:val="32"/>
          <w:szCs w:val="32"/>
        </w:rPr>
      </w:pPr>
      <w:r>
        <w:rPr>
          <w:rFonts w:ascii="仿宋" w:hAnsi="仿宋" w:eastAsia="仿宋"/>
          <w:b/>
          <w:sz w:val="32"/>
          <w:szCs w:val="32"/>
        </w:rPr>
        <w:t>“</w:t>
      </w:r>
      <w:r>
        <w:rPr>
          <w:rFonts w:hint="eastAsia" w:ascii="仿宋" w:hAnsi="仿宋" w:eastAsia="仿宋"/>
          <w:b/>
          <w:sz w:val="32"/>
          <w:szCs w:val="32"/>
        </w:rPr>
        <w:t>十三五</w:t>
      </w:r>
      <w:r>
        <w:rPr>
          <w:rFonts w:ascii="仿宋" w:hAnsi="仿宋" w:eastAsia="仿宋"/>
          <w:b/>
          <w:sz w:val="32"/>
          <w:szCs w:val="32"/>
        </w:rPr>
        <w:t>”</w:t>
      </w:r>
      <w:r>
        <w:rPr>
          <w:rFonts w:hint="eastAsia" w:ascii="仿宋" w:hAnsi="仿宋" w:eastAsia="仿宋"/>
          <w:b/>
          <w:sz w:val="32"/>
          <w:szCs w:val="32"/>
        </w:rPr>
        <w:t>时期，庞各庄</w:t>
      </w:r>
      <w:r>
        <w:rPr>
          <w:rFonts w:ascii="仿宋" w:hAnsi="仿宋" w:eastAsia="仿宋"/>
          <w:b/>
          <w:sz w:val="32"/>
          <w:szCs w:val="32"/>
        </w:rPr>
        <w:t>镇</w:t>
      </w:r>
      <w:r>
        <w:rPr>
          <w:rFonts w:hint="eastAsia" w:ascii="仿宋" w:hAnsi="仿宋" w:eastAsia="仿宋"/>
          <w:b/>
          <w:sz w:val="32"/>
          <w:szCs w:val="32"/>
        </w:rPr>
        <w:t>将</w:t>
      </w:r>
      <w:r>
        <w:rPr>
          <w:rFonts w:ascii="仿宋" w:hAnsi="仿宋" w:eastAsia="仿宋"/>
          <w:b/>
          <w:sz w:val="32"/>
          <w:szCs w:val="32"/>
        </w:rPr>
        <w:t>建成</w:t>
      </w:r>
      <w:r>
        <w:rPr>
          <w:rFonts w:hint="eastAsia" w:ascii="仿宋" w:hAnsi="仿宋" w:eastAsia="仿宋"/>
          <w:b/>
          <w:sz w:val="32"/>
          <w:szCs w:val="32"/>
        </w:rPr>
        <w:t>“北京绿色高端服务区”。</w:t>
      </w:r>
      <w:r>
        <w:rPr>
          <w:rFonts w:ascii="仿宋_GB2312" w:hAnsi="仿宋" w:eastAsia="仿宋_GB2312"/>
          <w:sz w:val="32"/>
          <w:szCs w:val="32"/>
        </w:rPr>
        <w:t>一是</w:t>
      </w:r>
      <w:r>
        <w:rPr>
          <w:rFonts w:hint="eastAsia" w:ascii="仿宋_GB2312" w:hAnsi="仿宋" w:eastAsia="仿宋_GB2312"/>
          <w:sz w:val="32"/>
          <w:szCs w:val="32"/>
        </w:rPr>
        <w:t>打造产城融合体，把庞各庄镇建成</w:t>
      </w:r>
      <w:r>
        <w:rPr>
          <w:rFonts w:ascii="仿宋_GB2312" w:hAnsi="仿宋" w:eastAsia="仿宋_GB2312"/>
          <w:sz w:val="32"/>
          <w:szCs w:val="32"/>
        </w:rPr>
        <w:t>环境优美、</w:t>
      </w:r>
      <w:r>
        <w:rPr>
          <w:rFonts w:hint="eastAsia" w:ascii="仿宋_GB2312" w:hAnsi="仿宋" w:eastAsia="仿宋_GB2312"/>
          <w:sz w:val="32"/>
          <w:szCs w:val="32"/>
        </w:rPr>
        <w:t>生产</w:t>
      </w:r>
      <w:r>
        <w:rPr>
          <w:rFonts w:ascii="仿宋_GB2312" w:hAnsi="仿宋" w:eastAsia="仿宋_GB2312"/>
          <w:sz w:val="32"/>
          <w:szCs w:val="32"/>
        </w:rPr>
        <w:t>绿色、</w:t>
      </w:r>
      <w:r>
        <w:rPr>
          <w:rFonts w:hint="eastAsia" w:ascii="仿宋_GB2312" w:hAnsi="仿宋" w:eastAsia="仿宋_GB2312"/>
          <w:sz w:val="32"/>
          <w:szCs w:val="32"/>
        </w:rPr>
        <w:t>生活低碳的“京南绿色休闲新港湾”。二是围绕临空经济发展，</w:t>
      </w:r>
      <w:r>
        <w:rPr>
          <w:rFonts w:ascii="仿宋_GB2312" w:hAnsi="仿宋" w:eastAsia="仿宋_GB2312"/>
          <w:sz w:val="32"/>
          <w:szCs w:val="32"/>
        </w:rPr>
        <w:t>将</w:t>
      </w:r>
      <w:r>
        <w:rPr>
          <w:rFonts w:hint="eastAsia" w:ascii="仿宋_GB2312" w:hAnsi="仿宋" w:eastAsia="仿宋_GB2312"/>
          <w:sz w:val="32"/>
          <w:szCs w:val="32"/>
        </w:rPr>
        <w:t>庞各庄镇</w:t>
      </w:r>
      <w:r>
        <w:rPr>
          <w:rFonts w:ascii="仿宋_GB2312" w:hAnsi="仿宋" w:eastAsia="仿宋_GB2312"/>
          <w:sz w:val="32"/>
          <w:szCs w:val="32"/>
        </w:rPr>
        <w:t>建成</w:t>
      </w:r>
      <w:r>
        <w:rPr>
          <w:rFonts w:hint="eastAsia" w:ascii="仿宋_GB2312" w:hAnsi="仿宋" w:eastAsia="仿宋_GB2312"/>
          <w:sz w:val="32"/>
          <w:szCs w:val="32"/>
        </w:rPr>
        <w:t>临空服务业、现代商务和都市农业、旅游休闲业融合发展的“临空高端商务区”。</w:t>
      </w:r>
      <w:r>
        <w:rPr>
          <w:rFonts w:ascii="仿宋_GB2312" w:hAnsi="仿宋" w:eastAsia="仿宋_GB2312"/>
          <w:sz w:val="32"/>
          <w:szCs w:val="32"/>
        </w:rPr>
        <w:t>三</w:t>
      </w:r>
      <w:r>
        <w:rPr>
          <w:rFonts w:hint="eastAsia" w:ascii="仿宋_GB2312" w:hAnsi="仿宋" w:eastAsia="仿宋_GB2312"/>
          <w:sz w:val="32"/>
          <w:szCs w:val="32"/>
        </w:rPr>
        <w:t>是</w:t>
      </w:r>
      <w:r>
        <w:rPr>
          <w:rFonts w:ascii="仿宋_GB2312" w:hAnsi="仿宋" w:eastAsia="仿宋_GB2312"/>
          <w:sz w:val="32"/>
          <w:szCs w:val="32"/>
        </w:rPr>
        <w:t>创新</w:t>
      </w:r>
      <w:r>
        <w:rPr>
          <w:rFonts w:hint="eastAsia" w:ascii="仿宋_GB2312" w:hAnsi="仿宋" w:eastAsia="仿宋_GB2312"/>
          <w:sz w:val="32"/>
          <w:szCs w:val="32"/>
        </w:rPr>
        <w:t>社会服务管理</w:t>
      </w:r>
      <w:r>
        <w:rPr>
          <w:rFonts w:ascii="仿宋_GB2312" w:hAnsi="仿宋" w:eastAsia="仿宋_GB2312"/>
          <w:sz w:val="32"/>
          <w:szCs w:val="32"/>
        </w:rPr>
        <w:t>模式</w:t>
      </w:r>
      <w:r>
        <w:rPr>
          <w:rFonts w:hint="eastAsia" w:ascii="仿宋_GB2312" w:hAnsi="仿宋" w:eastAsia="仿宋_GB2312"/>
          <w:sz w:val="32"/>
          <w:szCs w:val="32"/>
        </w:rPr>
        <w:t>，</w:t>
      </w:r>
      <w:r>
        <w:rPr>
          <w:rFonts w:ascii="仿宋_GB2312" w:hAnsi="仿宋" w:eastAsia="仿宋_GB2312"/>
          <w:sz w:val="32"/>
          <w:szCs w:val="32"/>
        </w:rPr>
        <w:t>将</w:t>
      </w:r>
      <w:r>
        <w:rPr>
          <w:rFonts w:hint="eastAsia" w:ascii="仿宋_GB2312" w:hAnsi="仿宋" w:eastAsia="仿宋_GB2312"/>
          <w:sz w:val="32"/>
          <w:szCs w:val="32"/>
        </w:rPr>
        <w:t>庞各庄镇建成具有</w:t>
      </w:r>
      <w:r>
        <w:rPr>
          <w:rFonts w:ascii="仿宋_GB2312" w:hAnsi="仿宋" w:eastAsia="仿宋_GB2312"/>
          <w:sz w:val="32"/>
          <w:szCs w:val="32"/>
        </w:rPr>
        <w:t>城乡一体、</w:t>
      </w:r>
      <w:r>
        <w:rPr>
          <w:rFonts w:hint="eastAsia" w:ascii="仿宋_GB2312" w:hAnsi="仿宋" w:eastAsia="仿宋_GB2312"/>
          <w:sz w:val="32"/>
          <w:szCs w:val="32"/>
        </w:rPr>
        <w:t>社区</w:t>
      </w:r>
      <w:r>
        <w:rPr>
          <w:rFonts w:ascii="仿宋_GB2312" w:hAnsi="仿宋" w:eastAsia="仿宋_GB2312"/>
          <w:sz w:val="32"/>
          <w:szCs w:val="32"/>
        </w:rPr>
        <w:t>和谐、</w:t>
      </w:r>
      <w:r>
        <w:rPr>
          <w:rFonts w:hint="eastAsia" w:ascii="仿宋_GB2312" w:hAnsi="仿宋" w:eastAsia="仿宋_GB2312"/>
          <w:sz w:val="32"/>
          <w:szCs w:val="32"/>
        </w:rPr>
        <w:t>服务</w:t>
      </w:r>
      <w:r>
        <w:rPr>
          <w:rFonts w:ascii="仿宋_GB2312" w:hAnsi="仿宋" w:eastAsia="仿宋_GB2312"/>
          <w:sz w:val="32"/>
          <w:szCs w:val="32"/>
        </w:rPr>
        <w:t>便捷的</w:t>
      </w:r>
      <w:r>
        <w:rPr>
          <w:rFonts w:hint="eastAsia" w:ascii="仿宋_GB2312" w:hAnsi="仿宋" w:eastAsia="仿宋_GB2312"/>
          <w:sz w:val="32"/>
          <w:szCs w:val="32"/>
        </w:rPr>
        <w:t xml:space="preserve"> “社会服务管理创新区”。</w:t>
      </w:r>
      <w:r>
        <w:rPr>
          <w:rFonts w:ascii="仿宋_GB2312" w:hAnsi="仿宋" w:eastAsia="仿宋_GB2312"/>
          <w:sz w:val="32"/>
          <w:szCs w:val="32"/>
        </w:rPr>
        <w:t xml:space="preserve"> </w:t>
      </w:r>
    </w:p>
    <w:p>
      <w:pPr>
        <w:pStyle w:val="21"/>
        <w:spacing w:before="156" w:beforeLines="50" w:after="156" w:afterLines="50"/>
        <w:ind w:firstLine="640"/>
        <w:outlineLvl w:val="2"/>
        <w:rPr>
          <w:rFonts w:ascii="仿宋_GB2312" w:hAnsi="仿宋" w:eastAsia="仿宋_GB2312"/>
          <w:b/>
          <w:sz w:val="32"/>
          <w:szCs w:val="32"/>
        </w:rPr>
      </w:pPr>
      <w:r>
        <w:rPr>
          <w:rFonts w:ascii="仿宋_GB2312" w:hAnsi="仿宋" w:eastAsia="仿宋_GB2312"/>
          <w:b/>
          <w:sz w:val="32"/>
          <w:szCs w:val="32"/>
        </w:rPr>
        <w:t>3、主要目标</w:t>
      </w:r>
    </w:p>
    <w:p>
      <w:pPr>
        <w:ind w:firstLine="640" w:firstLineChars="200"/>
        <w:rPr>
          <w:rFonts w:ascii="黑体" w:hAnsi="黑体" w:eastAsia="黑体" w:cs="Times New Roman"/>
          <w:b/>
          <w:sz w:val="32"/>
          <w:szCs w:val="32"/>
        </w:rPr>
      </w:pPr>
      <w:r>
        <w:rPr>
          <w:rFonts w:hint="eastAsia" w:ascii="仿宋_GB2312" w:hAnsi="仿宋" w:eastAsia="仿宋_GB2312" w:cs="Times New Roman"/>
          <w:sz w:val="32"/>
          <w:szCs w:val="32"/>
        </w:rPr>
        <w:t>“十三五”时期，庞各庄镇将</w:t>
      </w:r>
      <w:r>
        <w:rPr>
          <w:rFonts w:ascii="仿宋_GB2312" w:hAnsi="仿宋" w:eastAsia="仿宋_GB2312" w:cs="Times New Roman"/>
          <w:sz w:val="32"/>
          <w:szCs w:val="32"/>
        </w:rPr>
        <w:t>围绕</w:t>
      </w:r>
      <w:r>
        <w:rPr>
          <w:rFonts w:hint="eastAsia" w:ascii="仿宋_GB2312" w:hAnsi="仿宋" w:eastAsia="仿宋_GB2312" w:cs="Times New Roman"/>
          <w:b/>
          <w:sz w:val="32"/>
          <w:szCs w:val="32"/>
        </w:rPr>
        <w:t>绿色生态文化旅游体系</w:t>
      </w:r>
      <w:r>
        <w:rPr>
          <w:rFonts w:ascii="仿宋_GB2312" w:hAnsi="仿宋" w:eastAsia="仿宋_GB2312" w:cs="Times New Roman"/>
          <w:b/>
          <w:sz w:val="32"/>
          <w:szCs w:val="32"/>
        </w:rPr>
        <w:t>、</w:t>
      </w:r>
      <w:r>
        <w:rPr>
          <w:rFonts w:hint="eastAsia" w:ascii="仿宋_GB2312" w:hAnsi="仿宋" w:eastAsia="仿宋_GB2312" w:cs="Times New Roman"/>
          <w:b/>
          <w:sz w:val="32"/>
          <w:szCs w:val="32"/>
        </w:rPr>
        <w:t>消费驱动型新经济体系</w:t>
      </w:r>
      <w:r>
        <w:rPr>
          <w:rFonts w:ascii="仿宋_GB2312" w:hAnsi="仿宋" w:eastAsia="仿宋_GB2312" w:cs="Times New Roman"/>
          <w:b/>
          <w:sz w:val="32"/>
          <w:szCs w:val="32"/>
        </w:rPr>
        <w:t>、</w:t>
      </w:r>
      <w:r>
        <w:rPr>
          <w:rFonts w:hint="eastAsia" w:ascii="仿宋_GB2312" w:hAnsi="仿宋" w:eastAsia="仿宋_GB2312" w:cs="Times New Roman"/>
          <w:b/>
          <w:sz w:val="32"/>
          <w:szCs w:val="32"/>
        </w:rPr>
        <w:t>现代新市镇社会体系</w:t>
      </w:r>
      <w:r>
        <w:rPr>
          <w:rFonts w:ascii="仿宋_GB2312" w:hAnsi="仿宋" w:eastAsia="仿宋_GB2312" w:cs="Times New Roman"/>
          <w:b/>
          <w:sz w:val="32"/>
          <w:szCs w:val="32"/>
        </w:rPr>
        <w:t>、</w:t>
      </w:r>
      <w:r>
        <w:rPr>
          <w:rFonts w:hint="eastAsia" w:ascii="仿宋_GB2312" w:hAnsi="仿宋" w:eastAsia="仿宋_GB2312" w:cs="Times New Roman"/>
          <w:b/>
          <w:sz w:val="32"/>
          <w:szCs w:val="32"/>
        </w:rPr>
        <w:t>互联互通</w:t>
      </w:r>
      <w:r>
        <w:rPr>
          <w:rFonts w:ascii="仿宋_GB2312" w:hAnsi="仿宋" w:eastAsia="仿宋_GB2312" w:cs="Times New Roman"/>
          <w:b/>
          <w:sz w:val="32"/>
          <w:szCs w:val="32"/>
        </w:rPr>
        <w:t>的</w:t>
      </w:r>
      <w:r>
        <w:rPr>
          <w:rFonts w:hint="eastAsia" w:ascii="仿宋_GB2312" w:hAnsi="仿宋" w:eastAsia="仿宋_GB2312" w:cs="Times New Roman"/>
          <w:b/>
          <w:sz w:val="32"/>
          <w:szCs w:val="32"/>
        </w:rPr>
        <w:t>智慧城市体系</w:t>
      </w:r>
      <w:r>
        <w:rPr>
          <w:rFonts w:ascii="仿宋_GB2312" w:hAnsi="仿宋" w:eastAsia="仿宋_GB2312" w:cs="Times New Roman"/>
          <w:b/>
          <w:sz w:val="32"/>
          <w:szCs w:val="32"/>
        </w:rPr>
        <w:t>“</w:t>
      </w:r>
      <w:r>
        <w:rPr>
          <w:rFonts w:hint="eastAsia" w:ascii="仿宋_GB2312" w:hAnsi="仿宋" w:eastAsia="仿宋_GB2312" w:cs="Times New Roman"/>
          <w:b/>
          <w:sz w:val="32"/>
          <w:szCs w:val="32"/>
        </w:rPr>
        <w:t>四大</w:t>
      </w:r>
      <w:r>
        <w:rPr>
          <w:rFonts w:ascii="仿宋_GB2312" w:hAnsi="仿宋" w:eastAsia="仿宋_GB2312" w:cs="Times New Roman"/>
          <w:b/>
          <w:sz w:val="32"/>
          <w:szCs w:val="32"/>
        </w:rPr>
        <w:t>体系”建设，</w:t>
      </w:r>
      <w:r>
        <w:rPr>
          <w:rFonts w:hint="eastAsia" w:ascii="仿宋_GB2312" w:hAnsi="仿宋" w:eastAsia="仿宋_GB2312" w:cs="Times New Roman"/>
          <w:b/>
          <w:sz w:val="32"/>
          <w:szCs w:val="32"/>
        </w:rPr>
        <w:t>努力</w:t>
      </w:r>
      <w:r>
        <w:rPr>
          <w:rFonts w:ascii="仿宋_GB2312" w:hAnsi="仿宋" w:eastAsia="仿宋_GB2312" w:cs="Times New Roman"/>
          <w:b/>
          <w:sz w:val="32"/>
          <w:szCs w:val="32"/>
        </w:rPr>
        <w:t>实现经济、文化、民生、生态、法治“</w:t>
      </w:r>
      <w:r>
        <w:rPr>
          <w:rFonts w:hint="eastAsia" w:ascii="仿宋_GB2312" w:hAnsi="仿宋" w:eastAsia="仿宋_GB2312" w:cs="Times New Roman"/>
          <w:b/>
          <w:sz w:val="32"/>
          <w:szCs w:val="32"/>
        </w:rPr>
        <w:t>五</w:t>
      </w:r>
      <w:r>
        <w:rPr>
          <w:rFonts w:ascii="仿宋_GB2312" w:hAnsi="仿宋" w:eastAsia="仿宋_GB2312" w:cs="Times New Roman"/>
          <w:b/>
          <w:sz w:val="32"/>
          <w:szCs w:val="32"/>
        </w:rPr>
        <w:t>大跃升”</w:t>
      </w:r>
      <w:r>
        <w:rPr>
          <w:rFonts w:hint="eastAsia" w:ascii="仿宋_GB2312" w:hAnsi="仿宋" w:eastAsia="仿宋_GB2312" w:cs="Times New Roman"/>
          <w:b/>
          <w:sz w:val="32"/>
          <w:szCs w:val="32"/>
        </w:rPr>
        <w:t>。</w:t>
      </w:r>
    </w:p>
    <w:p>
      <w:pPr>
        <w:spacing w:line="600" w:lineRule="exact"/>
        <w:ind w:firstLine="643" w:firstLineChars="200"/>
        <w:rPr>
          <w:rFonts w:ascii="仿宋_GB2312" w:hAnsi="仿宋" w:eastAsia="仿宋_GB2312"/>
          <w:color w:val="FF0000"/>
          <w:sz w:val="32"/>
          <w:szCs w:val="32"/>
        </w:rPr>
      </w:pPr>
      <w:r>
        <w:rPr>
          <w:rFonts w:hint="eastAsia" w:ascii="仿宋_GB2312" w:hAnsi="仿宋" w:eastAsia="仿宋_GB2312"/>
          <w:b/>
          <w:sz w:val="32"/>
          <w:szCs w:val="32"/>
        </w:rPr>
        <w:t>——经济发展实现新跨越。</w:t>
      </w:r>
      <w:r>
        <w:rPr>
          <w:rFonts w:hint="eastAsia" w:ascii="仿宋_GB2312" w:hAnsi="仿宋" w:eastAsia="仿宋_GB2312"/>
          <w:sz w:val="32"/>
          <w:szCs w:val="32"/>
        </w:rPr>
        <w:t>主动适应新常态，促进产业升级增效，构建新型现代产业体系，继续保持经济中高速增长。开展“大众创业、万众创新”活动，实施“互联网+”行动，培育创新发展新动力。“</w:t>
      </w:r>
      <w:r>
        <w:rPr>
          <w:rFonts w:ascii="仿宋_GB2312" w:hAnsi="仿宋" w:eastAsia="仿宋_GB2312"/>
          <w:sz w:val="32"/>
          <w:szCs w:val="32"/>
        </w:rPr>
        <w:t>十三五”时期，高新技术产业</w:t>
      </w:r>
      <w:r>
        <w:rPr>
          <w:rFonts w:hint="eastAsia" w:ascii="仿宋_GB2312" w:hAnsi="仿宋" w:eastAsia="仿宋_GB2312"/>
          <w:sz w:val="32"/>
          <w:szCs w:val="32"/>
        </w:rPr>
        <w:t>产值</w:t>
      </w:r>
      <w:r>
        <w:rPr>
          <w:rFonts w:ascii="仿宋_GB2312" w:hAnsi="仿宋" w:eastAsia="仿宋_GB2312"/>
          <w:sz w:val="32"/>
          <w:szCs w:val="32"/>
        </w:rPr>
        <w:t>年均增速达到7%</w:t>
      </w:r>
      <w:r>
        <w:rPr>
          <w:rFonts w:hint="eastAsia" w:ascii="仿宋_GB2312" w:hAnsi="仿宋" w:eastAsia="仿宋_GB2312"/>
          <w:sz w:val="32"/>
          <w:szCs w:val="32"/>
        </w:rPr>
        <w:t>以上</w:t>
      </w:r>
      <w:r>
        <w:rPr>
          <w:rFonts w:ascii="仿宋_GB2312" w:hAnsi="仿宋" w:eastAsia="仿宋_GB2312"/>
          <w:sz w:val="32"/>
          <w:szCs w:val="32"/>
        </w:rPr>
        <w:t>，</w:t>
      </w:r>
      <w:r>
        <w:rPr>
          <w:rFonts w:hint="eastAsia" w:ascii="仿宋_GB2312" w:hAnsi="仿宋" w:eastAsia="仿宋_GB2312"/>
          <w:sz w:val="32"/>
          <w:szCs w:val="32"/>
        </w:rPr>
        <w:t>社会</w:t>
      </w:r>
      <w:r>
        <w:rPr>
          <w:rFonts w:ascii="仿宋_GB2312" w:hAnsi="仿宋" w:eastAsia="仿宋_GB2312"/>
          <w:sz w:val="32"/>
          <w:szCs w:val="32"/>
        </w:rPr>
        <w:t>消费品零售额</w:t>
      </w:r>
      <w:r>
        <w:rPr>
          <w:rFonts w:hint="eastAsia" w:ascii="仿宋_GB2312" w:hAnsi="仿宋" w:eastAsia="仿宋_GB2312"/>
          <w:sz w:val="32"/>
          <w:szCs w:val="32"/>
        </w:rPr>
        <w:t>年</w:t>
      </w:r>
      <w:r>
        <w:rPr>
          <w:rFonts w:ascii="仿宋_GB2312" w:hAnsi="仿宋" w:eastAsia="仿宋_GB2312"/>
          <w:sz w:val="32"/>
          <w:szCs w:val="32"/>
        </w:rPr>
        <w:t>均增速达到8%</w:t>
      </w:r>
      <w:r>
        <w:rPr>
          <w:rFonts w:hint="eastAsia" w:ascii="仿宋_GB2312" w:hAnsi="仿宋" w:eastAsia="仿宋_GB2312"/>
          <w:sz w:val="32"/>
          <w:szCs w:val="32"/>
        </w:rPr>
        <w:t>以上</w:t>
      </w:r>
      <w:r>
        <w:rPr>
          <w:rFonts w:ascii="仿宋_GB2312" w:hAnsi="仿宋" w:eastAsia="仿宋_GB2312"/>
          <w:sz w:val="32"/>
          <w:szCs w:val="32"/>
        </w:rPr>
        <w:t>。</w:t>
      </w:r>
    </w:p>
    <w:p>
      <w:pPr>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rPr>
        <w:t>——文化建设取得新成效。</w:t>
      </w:r>
      <w:r>
        <w:rPr>
          <w:rFonts w:hint="eastAsia" w:ascii="仿宋_GB2312" w:hAnsi="仿宋" w:eastAsia="仿宋_GB2312"/>
          <w:sz w:val="32"/>
          <w:szCs w:val="32"/>
        </w:rPr>
        <w:t>推动文化事业全面繁荣、文化产业健康发展，完善覆盖村庄、结构合理、功能健全、实用高效的公共文化服务体系，深入实施文化信息资源共享、农村电影放映、农家书屋等文化惠民工程，满足群众对文化生活的需求，提升文化建设质量。</w:t>
      </w:r>
      <w:r>
        <w:rPr>
          <w:rFonts w:ascii="仿宋_GB2312" w:hAnsi="仿宋" w:eastAsia="仿宋_GB2312"/>
          <w:sz w:val="32"/>
          <w:szCs w:val="32"/>
        </w:rPr>
        <w:t>到2020</w:t>
      </w:r>
      <w:r>
        <w:rPr>
          <w:rFonts w:hint="eastAsia" w:ascii="仿宋_GB2312" w:hAnsi="仿宋" w:eastAsia="仿宋_GB2312"/>
          <w:sz w:val="32"/>
          <w:szCs w:val="32"/>
        </w:rPr>
        <w:t>年</w:t>
      </w:r>
      <w:r>
        <w:rPr>
          <w:rFonts w:ascii="仿宋_GB2312" w:hAnsi="仿宋" w:eastAsia="仿宋_GB2312"/>
          <w:sz w:val="32"/>
          <w:szCs w:val="32"/>
        </w:rPr>
        <w:t>人均公共文化体育设施面积达到3</w:t>
      </w:r>
      <w:r>
        <w:rPr>
          <w:rFonts w:hint="eastAsia" w:ascii="仿宋_GB2312" w:hAnsi="仿宋" w:eastAsia="仿宋_GB2312"/>
          <w:sz w:val="32"/>
          <w:szCs w:val="32"/>
        </w:rPr>
        <w:t>平米</w:t>
      </w:r>
      <w:r>
        <w:rPr>
          <w:rFonts w:ascii="仿宋_GB2312" w:hAnsi="仿宋" w:eastAsia="仿宋_GB2312"/>
          <w:sz w:val="32"/>
          <w:szCs w:val="32"/>
        </w:rPr>
        <w:t>，</w:t>
      </w:r>
      <w:r>
        <w:rPr>
          <w:rFonts w:hint="eastAsia" w:ascii="仿宋_GB2312" w:hAnsi="仿宋" w:eastAsia="仿宋_GB2312"/>
          <w:sz w:val="32"/>
          <w:szCs w:val="32"/>
        </w:rPr>
        <w:t>人均</w:t>
      </w:r>
      <w:r>
        <w:rPr>
          <w:rFonts w:ascii="仿宋_GB2312" w:hAnsi="仿宋" w:eastAsia="仿宋_GB2312"/>
          <w:sz w:val="32"/>
          <w:szCs w:val="32"/>
        </w:rPr>
        <w:t>公共</w:t>
      </w:r>
      <w:r>
        <w:rPr>
          <w:rFonts w:hint="eastAsia" w:ascii="仿宋_GB2312" w:hAnsi="仿宋" w:eastAsia="仿宋_GB2312"/>
          <w:sz w:val="32"/>
          <w:szCs w:val="32"/>
        </w:rPr>
        <w:t>文化</w:t>
      </w:r>
      <w:r>
        <w:rPr>
          <w:rFonts w:ascii="仿宋_GB2312" w:hAnsi="仿宋" w:eastAsia="仿宋_GB2312"/>
          <w:sz w:val="32"/>
          <w:szCs w:val="32"/>
        </w:rPr>
        <w:t>财政支出达到800</w:t>
      </w:r>
      <w:r>
        <w:rPr>
          <w:rFonts w:hint="eastAsia" w:ascii="仿宋_GB2312" w:hAnsi="仿宋" w:eastAsia="仿宋_GB2312"/>
          <w:sz w:val="32"/>
          <w:szCs w:val="32"/>
        </w:rPr>
        <w:t>元</w:t>
      </w:r>
      <w:r>
        <w:rPr>
          <w:rFonts w:ascii="仿宋_GB2312" w:hAnsi="仿宋" w:eastAsia="仿宋_GB2312"/>
          <w:sz w:val="32"/>
          <w:szCs w:val="32"/>
        </w:rPr>
        <w:t>，</w:t>
      </w:r>
      <w:r>
        <w:rPr>
          <w:rFonts w:hint="eastAsia" w:ascii="仿宋_GB2312" w:hAnsi="仿宋" w:eastAsia="仿宋_GB2312"/>
          <w:sz w:val="32"/>
          <w:szCs w:val="32"/>
        </w:rPr>
        <w:t>三馆一</w:t>
      </w:r>
      <w:r>
        <w:rPr>
          <w:rFonts w:ascii="仿宋_GB2312" w:hAnsi="仿宋" w:eastAsia="仿宋_GB2312"/>
          <w:sz w:val="32"/>
          <w:szCs w:val="32"/>
        </w:rPr>
        <w:t>站覆盖率达到100％。</w:t>
      </w:r>
    </w:p>
    <w:p>
      <w:pPr>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rPr>
        <w:t>——民生改善达到新水平。</w:t>
      </w:r>
      <w:r>
        <w:rPr>
          <w:rFonts w:hint="eastAsia" w:ascii="仿宋_GB2312" w:hAnsi="仿宋" w:eastAsia="仿宋_GB2312"/>
          <w:sz w:val="32"/>
          <w:szCs w:val="32"/>
        </w:rPr>
        <w:t>着力提高居民收入水平，提升居民生活质量，完善娱乐休闲设施，提高教科文卫等社会服务水平，实现基本公共服务均等化。启动一批重大公共基础设施建设项目，全面建成覆盖镇域的公共基础设施服务网络。</w:t>
      </w:r>
      <w:r>
        <w:rPr>
          <w:rFonts w:ascii="仿宋_GB2312" w:hAnsi="仿宋" w:eastAsia="仿宋_GB2312"/>
          <w:sz w:val="32"/>
          <w:szCs w:val="32"/>
        </w:rPr>
        <w:t>到2020</w:t>
      </w:r>
      <w:r>
        <w:rPr>
          <w:rFonts w:hint="eastAsia" w:ascii="仿宋_GB2312" w:hAnsi="仿宋" w:eastAsia="仿宋_GB2312"/>
          <w:sz w:val="32"/>
          <w:szCs w:val="32"/>
        </w:rPr>
        <w:t>年</w:t>
      </w:r>
      <w:r>
        <w:rPr>
          <w:rFonts w:ascii="仿宋_GB2312" w:hAnsi="仿宋" w:eastAsia="仿宋_GB2312"/>
          <w:sz w:val="32"/>
          <w:szCs w:val="32"/>
        </w:rPr>
        <w:t>，城镇</w:t>
      </w:r>
      <w:r>
        <w:rPr>
          <w:rFonts w:hint="eastAsia" w:ascii="仿宋_GB2312" w:hAnsi="仿宋" w:eastAsia="仿宋_GB2312"/>
          <w:sz w:val="32"/>
          <w:szCs w:val="32"/>
        </w:rPr>
        <w:t>登记</w:t>
      </w:r>
      <w:r>
        <w:rPr>
          <w:rFonts w:ascii="仿宋_GB2312" w:hAnsi="仿宋" w:eastAsia="仿宋_GB2312"/>
          <w:sz w:val="32"/>
          <w:szCs w:val="32"/>
        </w:rPr>
        <w:t>失业率低于1%，</w:t>
      </w:r>
      <w:r>
        <w:rPr>
          <w:rFonts w:hint="eastAsia" w:ascii="仿宋_GB2312" w:hAnsi="仿宋" w:eastAsia="仿宋_GB2312"/>
          <w:sz w:val="32"/>
          <w:szCs w:val="32"/>
        </w:rPr>
        <w:t>重点</w:t>
      </w:r>
      <w:r>
        <w:rPr>
          <w:rFonts w:ascii="仿宋_GB2312" w:hAnsi="仿宋" w:eastAsia="仿宋_GB2312"/>
          <w:sz w:val="32"/>
          <w:szCs w:val="32"/>
        </w:rPr>
        <w:t>食品安全监测抽查合格率达到98%</w:t>
      </w:r>
      <w:r>
        <w:rPr>
          <w:rFonts w:hint="eastAsia" w:ascii="仿宋_GB2312" w:hAnsi="仿宋" w:eastAsia="仿宋_GB2312"/>
          <w:sz w:val="32"/>
          <w:szCs w:val="32"/>
        </w:rPr>
        <w:t>以上</w:t>
      </w:r>
      <w:r>
        <w:rPr>
          <w:rFonts w:ascii="仿宋_GB2312" w:hAnsi="仿宋" w:eastAsia="仿宋_GB2312"/>
          <w:sz w:val="32"/>
          <w:szCs w:val="32"/>
        </w:rPr>
        <w:t>。</w:t>
      </w:r>
      <w:r>
        <w:rPr>
          <w:rFonts w:hint="eastAsia" w:ascii="仿宋_GB2312" w:hAnsi="仿宋" w:eastAsia="仿宋_GB2312"/>
          <w:sz w:val="32"/>
          <w:szCs w:val="32"/>
        </w:rPr>
        <w:t>“</w:t>
      </w:r>
      <w:r>
        <w:rPr>
          <w:rFonts w:ascii="仿宋_GB2312" w:hAnsi="仿宋" w:eastAsia="仿宋_GB2312"/>
          <w:sz w:val="32"/>
          <w:szCs w:val="32"/>
        </w:rPr>
        <w:t>十三五”时期</w:t>
      </w:r>
      <w:r>
        <w:rPr>
          <w:rFonts w:hint="eastAsia" w:ascii="仿宋_GB2312" w:hAnsi="仿宋" w:eastAsia="仿宋_GB2312"/>
          <w:sz w:val="32"/>
          <w:szCs w:val="32"/>
        </w:rPr>
        <w:t>，</w:t>
      </w:r>
      <w:r>
        <w:rPr>
          <w:rFonts w:ascii="仿宋_GB2312" w:hAnsi="仿宋" w:eastAsia="仿宋_GB2312"/>
          <w:sz w:val="32"/>
          <w:szCs w:val="32"/>
        </w:rPr>
        <w:t>农村居民</w:t>
      </w:r>
      <w:r>
        <w:rPr>
          <w:rFonts w:hint="eastAsia" w:ascii="仿宋_GB2312" w:hAnsi="仿宋" w:eastAsia="仿宋_GB2312"/>
          <w:sz w:val="32"/>
          <w:szCs w:val="32"/>
        </w:rPr>
        <w:t>人均</w:t>
      </w:r>
      <w:r>
        <w:rPr>
          <w:rFonts w:ascii="仿宋_GB2312" w:hAnsi="仿宋" w:eastAsia="仿宋_GB2312"/>
          <w:sz w:val="32"/>
          <w:szCs w:val="32"/>
        </w:rPr>
        <w:t>可支配收入增速达到8.5%。</w:t>
      </w:r>
    </w:p>
    <w:p>
      <w:pPr>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rPr>
        <w:t>——生态建设取得新进步。</w:t>
      </w:r>
      <w:r>
        <w:rPr>
          <w:rFonts w:hint="eastAsia" w:ascii="仿宋_GB2312" w:hAnsi="仿宋" w:eastAsia="仿宋_GB2312"/>
          <w:sz w:val="32"/>
          <w:szCs w:val="32"/>
        </w:rPr>
        <w:t>坚持“资源节约型、环境友好型”发展理念，全面推进“全国环境优美小城镇”、“美丽乡村”和“农村生态社区”建设，积极将生态优势转变为发展优势，促进绿色、低碳、可持续发展，实现绿色发展。</w:t>
      </w:r>
      <w:r>
        <w:rPr>
          <w:rFonts w:ascii="仿宋_GB2312" w:hAnsi="仿宋" w:eastAsia="仿宋_GB2312"/>
          <w:sz w:val="32"/>
          <w:szCs w:val="32"/>
        </w:rPr>
        <w:t>到2020</w:t>
      </w:r>
      <w:r>
        <w:rPr>
          <w:rFonts w:hint="eastAsia" w:ascii="仿宋_GB2312" w:hAnsi="仿宋" w:eastAsia="仿宋_GB2312"/>
          <w:sz w:val="32"/>
          <w:szCs w:val="32"/>
        </w:rPr>
        <w:t>年</w:t>
      </w:r>
      <w:r>
        <w:rPr>
          <w:rFonts w:ascii="仿宋_GB2312" w:hAnsi="仿宋" w:eastAsia="仿宋_GB2312"/>
          <w:sz w:val="32"/>
          <w:szCs w:val="32"/>
        </w:rPr>
        <w:t>，</w:t>
      </w:r>
      <w:r>
        <w:rPr>
          <w:rFonts w:hint="eastAsia" w:ascii="仿宋_GB2312" w:hAnsi="仿宋" w:eastAsia="仿宋_GB2312"/>
          <w:sz w:val="32"/>
          <w:szCs w:val="32"/>
        </w:rPr>
        <w:t>森林</w:t>
      </w:r>
      <w:r>
        <w:rPr>
          <w:rFonts w:ascii="仿宋_GB2312" w:hAnsi="仿宋" w:eastAsia="仿宋_GB2312"/>
          <w:sz w:val="32"/>
          <w:szCs w:val="32"/>
        </w:rPr>
        <w:t>覆盖率达到30%</w:t>
      </w:r>
      <w:r>
        <w:rPr>
          <w:rFonts w:hint="eastAsia" w:ascii="仿宋_GB2312" w:hAnsi="仿宋" w:eastAsia="仿宋_GB2312"/>
          <w:sz w:val="32"/>
          <w:szCs w:val="32"/>
        </w:rPr>
        <w:t>以上</w:t>
      </w:r>
      <w:r>
        <w:rPr>
          <w:rFonts w:ascii="仿宋_GB2312" w:hAnsi="仿宋" w:eastAsia="仿宋_GB2312"/>
          <w:sz w:val="32"/>
          <w:szCs w:val="32"/>
        </w:rPr>
        <w:t>，</w:t>
      </w:r>
      <w:r>
        <w:rPr>
          <w:rFonts w:hint="eastAsia" w:ascii="仿宋_GB2312" w:hAnsi="仿宋" w:eastAsia="仿宋_GB2312"/>
          <w:sz w:val="32"/>
          <w:szCs w:val="32"/>
        </w:rPr>
        <w:t>生活</w:t>
      </w:r>
      <w:r>
        <w:rPr>
          <w:rFonts w:ascii="仿宋_GB2312" w:hAnsi="仿宋" w:eastAsia="仿宋_GB2312"/>
          <w:sz w:val="32"/>
          <w:szCs w:val="32"/>
        </w:rPr>
        <w:t>无害垃圾处理率达到99.8%</w:t>
      </w:r>
      <w:r>
        <w:rPr>
          <w:rFonts w:hint="eastAsia" w:ascii="仿宋_GB2312" w:hAnsi="仿宋" w:eastAsia="仿宋_GB2312"/>
          <w:sz w:val="32"/>
          <w:szCs w:val="32"/>
        </w:rPr>
        <w:t>以上</w:t>
      </w:r>
      <w:r>
        <w:rPr>
          <w:rFonts w:ascii="仿宋_GB2312" w:hAnsi="仿宋" w:eastAsia="仿宋_GB2312"/>
          <w:sz w:val="32"/>
          <w:szCs w:val="32"/>
        </w:rPr>
        <w:t>，</w:t>
      </w:r>
      <w:r>
        <w:rPr>
          <w:rFonts w:hint="eastAsia" w:ascii="仿宋_GB2312" w:hAnsi="仿宋" w:eastAsia="仿宋_GB2312"/>
          <w:sz w:val="32"/>
          <w:szCs w:val="32"/>
        </w:rPr>
        <w:t>全镇</w:t>
      </w:r>
      <w:r>
        <w:rPr>
          <w:rFonts w:ascii="仿宋_GB2312" w:hAnsi="仿宋" w:eastAsia="仿宋_GB2312"/>
          <w:sz w:val="32"/>
          <w:szCs w:val="32"/>
        </w:rPr>
        <w:t>污水处理率达到95%</w:t>
      </w:r>
      <w:r>
        <w:rPr>
          <w:rFonts w:hint="eastAsia" w:ascii="仿宋_GB2312" w:hAnsi="仿宋" w:eastAsia="仿宋_GB2312"/>
          <w:sz w:val="32"/>
          <w:szCs w:val="32"/>
        </w:rPr>
        <w:t>以上</w:t>
      </w:r>
      <w:r>
        <w:rPr>
          <w:rFonts w:ascii="仿宋_GB2312" w:hAnsi="仿宋" w:eastAsia="仿宋_GB2312"/>
          <w:sz w:val="32"/>
          <w:szCs w:val="32"/>
        </w:rPr>
        <w:t>。</w:t>
      </w:r>
    </w:p>
    <w:p>
      <w:pPr>
        <w:spacing w:line="600" w:lineRule="exact"/>
        <w:ind w:firstLine="643" w:firstLineChars="200"/>
        <w:rPr>
          <w:rFonts w:ascii="仿宋_GB2312" w:hAnsi="仿宋" w:eastAsia="仿宋_GB2312"/>
          <w:sz w:val="32"/>
          <w:szCs w:val="32"/>
        </w:rPr>
      </w:pPr>
      <w:r>
        <w:rPr>
          <w:rFonts w:hint="eastAsia" w:ascii="仿宋_GB2312" w:hAnsi="仿宋" w:eastAsia="仿宋_GB2312"/>
          <w:b/>
          <w:sz w:val="32"/>
          <w:szCs w:val="32"/>
        </w:rPr>
        <w:t>——法治建设得到新提升。</w:t>
      </w:r>
      <w:r>
        <w:rPr>
          <w:rFonts w:hint="eastAsia" w:ascii="仿宋_GB2312" w:hAnsi="仿宋" w:eastAsia="仿宋_GB2312"/>
          <w:sz w:val="32"/>
          <w:szCs w:val="32"/>
        </w:rPr>
        <w:t>紧紧围绕改进社会治理方式、促进社会公平正义两大重点任务，在完善体制机制上下功夫，着力解决影响社会治理效能、影响司法公正、制约司法能力的深层次问题，构建高效的法治实施体系、严密的法治监督体系和有力的法治保障体系。</w:t>
      </w:r>
      <w:r>
        <w:rPr>
          <w:rFonts w:ascii="仿宋_GB2312" w:hAnsi="仿宋" w:eastAsia="仿宋_GB2312"/>
          <w:sz w:val="32"/>
          <w:szCs w:val="32"/>
        </w:rPr>
        <w:t>到2020</w:t>
      </w:r>
      <w:r>
        <w:rPr>
          <w:rFonts w:hint="eastAsia" w:ascii="仿宋_GB2312" w:hAnsi="仿宋" w:eastAsia="仿宋_GB2312"/>
          <w:sz w:val="32"/>
          <w:szCs w:val="32"/>
        </w:rPr>
        <w:t>年</w:t>
      </w:r>
      <w:r>
        <w:rPr>
          <w:rFonts w:ascii="仿宋_GB2312" w:hAnsi="仿宋" w:eastAsia="仿宋_GB2312"/>
          <w:sz w:val="32"/>
          <w:szCs w:val="32"/>
        </w:rPr>
        <w:t>社会公众对政府立法和规范性文件制定发布工作的总体满意度达到100%，</w:t>
      </w:r>
      <w:r>
        <w:rPr>
          <w:rFonts w:hint="eastAsia" w:ascii="仿宋_GB2312" w:hAnsi="仿宋" w:eastAsia="仿宋_GB2312"/>
          <w:sz w:val="32"/>
          <w:szCs w:val="32"/>
        </w:rPr>
        <w:t>规章</w:t>
      </w:r>
      <w:r>
        <w:rPr>
          <w:rFonts w:ascii="仿宋_GB2312" w:hAnsi="仿宋" w:eastAsia="仿宋_GB2312"/>
          <w:sz w:val="32"/>
          <w:szCs w:val="32"/>
        </w:rPr>
        <w:t>、</w:t>
      </w:r>
      <w:r>
        <w:rPr>
          <w:rFonts w:hint="eastAsia" w:ascii="仿宋_GB2312" w:hAnsi="仿宋" w:eastAsia="仿宋_GB2312"/>
          <w:sz w:val="32"/>
          <w:szCs w:val="32"/>
        </w:rPr>
        <w:t>规范性</w:t>
      </w:r>
      <w:r>
        <w:rPr>
          <w:rFonts w:ascii="仿宋_GB2312" w:hAnsi="仿宋" w:eastAsia="仿宋_GB2312"/>
          <w:sz w:val="32"/>
          <w:szCs w:val="32"/>
        </w:rPr>
        <w:t>文件的</w:t>
      </w:r>
      <w:r>
        <w:rPr>
          <w:rFonts w:hint="eastAsia" w:ascii="仿宋_GB2312" w:hAnsi="仿宋" w:eastAsia="仿宋_GB2312"/>
          <w:sz w:val="32"/>
          <w:szCs w:val="32"/>
        </w:rPr>
        <w:t>报备</w:t>
      </w:r>
      <w:r>
        <w:rPr>
          <w:rFonts w:ascii="仿宋_GB2312" w:hAnsi="仿宋" w:eastAsia="仿宋_GB2312"/>
          <w:sz w:val="32"/>
          <w:szCs w:val="32"/>
        </w:rPr>
        <w:t>率和报备及时率、</w:t>
      </w:r>
      <w:r>
        <w:rPr>
          <w:rFonts w:hint="eastAsia" w:ascii="仿宋_GB2312" w:hAnsi="仿宋" w:eastAsia="仿宋_GB2312"/>
          <w:sz w:val="32"/>
          <w:szCs w:val="32"/>
        </w:rPr>
        <w:t>规范</w:t>
      </w:r>
      <w:r>
        <w:rPr>
          <w:rFonts w:ascii="仿宋_GB2312" w:hAnsi="仿宋" w:eastAsia="仿宋_GB2312"/>
          <w:sz w:val="32"/>
          <w:szCs w:val="32"/>
        </w:rPr>
        <w:t>率均达到100%。</w:t>
      </w:r>
    </w:p>
    <w:p>
      <w:pPr>
        <w:spacing w:line="600" w:lineRule="exact"/>
        <w:ind w:firstLine="640" w:firstLineChars="200"/>
        <w:rPr>
          <w:rFonts w:ascii="仿宋_GB2312" w:hAnsi="仿宋" w:eastAsia="仿宋_GB2312"/>
          <w:sz w:val="32"/>
          <w:szCs w:val="32"/>
        </w:rPr>
      </w:pPr>
    </w:p>
    <w:p>
      <w:pPr>
        <w:pStyle w:val="12"/>
        <w:adjustRightInd w:val="0"/>
        <w:snapToGrid w:val="0"/>
        <w:spacing w:before="312" w:beforeLines="100" w:beforeAutospacing="0" w:after="156" w:afterLines="50" w:afterAutospacing="0"/>
        <w:ind w:firstLine="562" w:firstLineChars="200"/>
        <w:rPr>
          <w:rFonts w:ascii="黑体" w:hAnsi="黑体" w:eastAsia="黑体"/>
          <w:b/>
          <w:bCs/>
          <w:sz w:val="28"/>
          <w:szCs w:val="28"/>
        </w:rPr>
      </w:pPr>
      <w:r>
        <w:rPr>
          <w:rFonts w:hint="eastAsia" w:ascii="黑体" w:hAnsi="黑体" w:eastAsia="黑体"/>
          <w:b/>
          <w:bCs/>
          <w:sz w:val="28"/>
          <w:szCs w:val="28"/>
        </w:rPr>
        <w:t>表</w:t>
      </w:r>
      <w:r>
        <w:rPr>
          <w:rFonts w:ascii="黑体" w:hAnsi="黑体" w:eastAsia="黑体"/>
          <w:b/>
          <w:bCs/>
          <w:sz w:val="28"/>
          <w:szCs w:val="28"/>
        </w:rPr>
        <w:t xml:space="preserve">1-1    </w:t>
      </w:r>
      <w:r>
        <w:rPr>
          <w:rFonts w:hint="eastAsia" w:ascii="黑体" w:hAnsi="黑体" w:eastAsia="黑体"/>
          <w:b/>
          <w:bCs/>
          <w:sz w:val="28"/>
          <w:szCs w:val="28"/>
        </w:rPr>
        <w:t>庞各庄镇“十三五”时期经济社会发展主要目标</w:t>
      </w:r>
    </w:p>
    <w:tbl>
      <w:tblPr>
        <w:tblStyle w:val="14"/>
        <w:tblW w:w="83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4"/>
        <w:gridCol w:w="528"/>
        <w:gridCol w:w="3847"/>
        <w:gridCol w:w="1155"/>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5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b/>
                <w:kern w:val="0"/>
                <w:sz w:val="24"/>
                <w:szCs w:val="24"/>
              </w:rPr>
            </w:pPr>
            <w:r>
              <w:rPr>
                <w:rFonts w:hint="eastAsia" w:ascii="仿宋" w:hAnsi="仿宋" w:eastAsia="仿宋" w:cs="Times New Roman"/>
                <w:b/>
                <w:kern w:val="0"/>
                <w:sz w:val="24"/>
                <w:szCs w:val="24"/>
              </w:rPr>
              <w:t>指标分类</w:t>
            </w:r>
          </w:p>
        </w:tc>
        <w:tc>
          <w:tcPr>
            <w:tcW w:w="5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b/>
                <w:kern w:val="0"/>
                <w:sz w:val="24"/>
                <w:szCs w:val="24"/>
              </w:rPr>
            </w:pPr>
            <w:r>
              <w:rPr>
                <w:rFonts w:hint="eastAsia" w:ascii="仿宋" w:hAnsi="仿宋" w:eastAsia="仿宋" w:cs="Times New Roman"/>
                <w:b/>
                <w:kern w:val="0"/>
                <w:sz w:val="24"/>
                <w:szCs w:val="24"/>
              </w:rPr>
              <w:t>序号</w:t>
            </w:r>
          </w:p>
        </w:tc>
        <w:tc>
          <w:tcPr>
            <w:tcW w:w="384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b/>
                <w:kern w:val="0"/>
                <w:sz w:val="24"/>
                <w:szCs w:val="24"/>
              </w:rPr>
            </w:pPr>
            <w:r>
              <w:rPr>
                <w:rFonts w:hint="eastAsia" w:ascii="仿宋" w:hAnsi="仿宋" w:eastAsia="仿宋" w:cs="Times New Roman"/>
                <w:b/>
                <w:kern w:val="0"/>
                <w:sz w:val="24"/>
                <w:szCs w:val="24"/>
              </w:rPr>
              <w:t>指标</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b/>
                <w:kern w:val="0"/>
                <w:sz w:val="24"/>
                <w:szCs w:val="24"/>
              </w:rPr>
            </w:pPr>
            <w:r>
              <w:rPr>
                <w:rFonts w:hint="eastAsia" w:ascii="仿宋" w:hAnsi="仿宋" w:eastAsia="仿宋" w:cs="Times New Roman"/>
                <w:b/>
                <w:kern w:val="0"/>
                <w:sz w:val="24"/>
                <w:szCs w:val="24"/>
              </w:rPr>
              <w:t>目标</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b/>
                <w:kern w:val="0"/>
                <w:sz w:val="24"/>
                <w:szCs w:val="24"/>
              </w:rPr>
            </w:pPr>
            <w:r>
              <w:rPr>
                <w:rFonts w:hint="eastAsia" w:ascii="仿宋" w:hAnsi="仿宋" w:eastAsia="仿宋" w:cs="Times New Roman"/>
                <w:b/>
                <w:kern w:val="0"/>
                <w:sz w:val="24"/>
                <w:szCs w:val="24"/>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b/>
                <w:kern w:val="0"/>
                <w:sz w:val="24"/>
                <w:szCs w:val="24"/>
              </w:rPr>
            </w:pPr>
            <w:r>
              <w:rPr>
                <w:rFonts w:hint="eastAsia" w:ascii="仿宋" w:hAnsi="仿宋" w:eastAsia="仿宋" w:cs="Times New Roman"/>
                <w:b/>
                <w:kern w:val="0"/>
                <w:sz w:val="24"/>
                <w:szCs w:val="24"/>
              </w:rPr>
              <w:t>经济发展</w:t>
            </w:r>
          </w:p>
          <w:p>
            <w:pPr>
              <w:jc w:val="center"/>
              <w:rPr>
                <w:rFonts w:ascii="仿宋" w:hAnsi="仿宋" w:eastAsia="仿宋" w:cs="Times New Roman"/>
                <w:b/>
                <w:kern w:val="0"/>
                <w:sz w:val="24"/>
                <w:szCs w:val="24"/>
              </w:rPr>
            </w:pPr>
            <w:r>
              <w:rPr>
                <w:rFonts w:hint="eastAsia" w:ascii="仿宋" w:hAnsi="仿宋" w:eastAsia="仿宋" w:cs="Times New Roman"/>
                <w:b/>
                <w:kern w:val="0"/>
                <w:sz w:val="24"/>
                <w:szCs w:val="24"/>
              </w:rPr>
              <w:t>实现新跨越</w:t>
            </w:r>
          </w:p>
        </w:tc>
        <w:tc>
          <w:tcPr>
            <w:tcW w:w="5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1</w:t>
            </w:r>
          </w:p>
        </w:tc>
        <w:tc>
          <w:tcPr>
            <w:tcW w:w="384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kern w:val="0"/>
                <w:sz w:val="24"/>
                <w:szCs w:val="24"/>
              </w:rPr>
            </w:pPr>
            <w:r>
              <w:rPr>
                <w:rFonts w:hint="eastAsia" w:ascii="仿宋" w:hAnsi="仿宋" w:eastAsia="仿宋" w:cs="Times New Roman"/>
                <w:kern w:val="0"/>
                <w:sz w:val="24"/>
                <w:szCs w:val="24"/>
              </w:rPr>
              <w:t>一般公共预算收入增速（%）</w:t>
            </w:r>
          </w:p>
        </w:tc>
        <w:tc>
          <w:tcPr>
            <w:tcW w:w="115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9</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16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color w:val="000000"/>
                <w:kern w:val="0"/>
                <w:sz w:val="24"/>
                <w:szCs w:val="24"/>
              </w:rPr>
            </w:pPr>
          </w:p>
        </w:tc>
        <w:tc>
          <w:tcPr>
            <w:tcW w:w="5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2</w:t>
            </w:r>
          </w:p>
        </w:tc>
        <w:tc>
          <w:tcPr>
            <w:tcW w:w="384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kern w:val="0"/>
                <w:sz w:val="24"/>
                <w:szCs w:val="24"/>
              </w:rPr>
            </w:pPr>
            <w:r>
              <w:rPr>
                <w:rFonts w:hint="eastAsia" w:ascii="仿宋" w:hAnsi="仿宋" w:eastAsia="仿宋" w:cs="Times New Roman"/>
                <w:kern w:val="0"/>
                <w:sz w:val="24"/>
                <w:szCs w:val="24"/>
              </w:rPr>
              <w:t>社会消费品零售总额年均增速（%）</w:t>
            </w:r>
          </w:p>
        </w:tc>
        <w:tc>
          <w:tcPr>
            <w:tcW w:w="115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8</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color w:val="000000"/>
                <w:kern w:val="0"/>
                <w:sz w:val="24"/>
                <w:szCs w:val="24"/>
              </w:rPr>
            </w:pPr>
          </w:p>
        </w:tc>
        <w:tc>
          <w:tcPr>
            <w:tcW w:w="5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kern w:val="0"/>
                <w:sz w:val="24"/>
                <w:szCs w:val="24"/>
              </w:rPr>
            </w:pPr>
            <w:r>
              <w:rPr>
                <w:rFonts w:ascii="仿宋" w:hAnsi="仿宋" w:eastAsia="仿宋" w:cs="Times New Roman"/>
                <w:kern w:val="0"/>
                <w:sz w:val="24"/>
                <w:szCs w:val="24"/>
              </w:rPr>
              <w:t>3</w:t>
            </w:r>
          </w:p>
        </w:tc>
        <w:tc>
          <w:tcPr>
            <w:tcW w:w="384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kern w:val="0"/>
                <w:sz w:val="24"/>
                <w:szCs w:val="24"/>
              </w:rPr>
            </w:pPr>
            <w:r>
              <w:rPr>
                <w:rFonts w:hint="eastAsia" w:ascii="仿宋" w:hAnsi="仿宋" w:eastAsia="仿宋" w:cs="Times New Roman"/>
                <w:kern w:val="0"/>
                <w:sz w:val="24"/>
                <w:szCs w:val="24"/>
              </w:rPr>
              <w:t>高新技术产业产值年均增速（%）</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7</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b/>
                <w:kern w:val="0"/>
                <w:sz w:val="24"/>
                <w:szCs w:val="24"/>
              </w:rPr>
            </w:pPr>
            <w:r>
              <w:rPr>
                <w:rFonts w:hint="eastAsia" w:ascii="仿宋" w:hAnsi="仿宋" w:eastAsia="仿宋" w:cs="Times New Roman"/>
                <w:b/>
                <w:kern w:val="0"/>
                <w:sz w:val="24"/>
                <w:szCs w:val="24"/>
              </w:rPr>
              <w:t>文化建设</w:t>
            </w:r>
          </w:p>
          <w:p>
            <w:pPr>
              <w:jc w:val="center"/>
              <w:rPr>
                <w:rFonts w:ascii="仿宋" w:hAnsi="仿宋" w:eastAsia="仿宋" w:cs="Times New Roman"/>
                <w:b/>
                <w:kern w:val="0"/>
                <w:sz w:val="24"/>
                <w:szCs w:val="24"/>
              </w:rPr>
            </w:pPr>
            <w:r>
              <w:rPr>
                <w:rFonts w:hint="eastAsia" w:ascii="仿宋" w:hAnsi="仿宋" w:eastAsia="仿宋" w:cs="Times New Roman"/>
                <w:b/>
                <w:kern w:val="0"/>
                <w:sz w:val="24"/>
                <w:szCs w:val="24"/>
              </w:rPr>
              <w:t>取得新成效</w:t>
            </w:r>
          </w:p>
        </w:tc>
        <w:tc>
          <w:tcPr>
            <w:tcW w:w="5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kern w:val="0"/>
                <w:sz w:val="24"/>
                <w:szCs w:val="24"/>
              </w:rPr>
            </w:pPr>
            <w:r>
              <w:rPr>
                <w:rFonts w:ascii="仿宋" w:hAnsi="仿宋" w:eastAsia="仿宋" w:cs="Times New Roman"/>
                <w:kern w:val="0"/>
                <w:sz w:val="24"/>
                <w:szCs w:val="24"/>
              </w:rPr>
              <w:t>4</w:t>
            </w:r>
          </w:p>
        </w:tc>
        <w:tc>
          <w:tcPr>
            <w:tcW w:w="384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kern w:val="0"/>
                <w:sz w:val="24"/>
                <w:szCs w:val="24"/>
              </w:rPr>
            </w:pPr>
            <w:r>
              <w:rPr>
                <w:rFonts w:hint="eastAsia" w:ascii="仿宋" w:hAnsi="仿宋" w:eastAsia="仿宋" w:cs="Times New Roman"/>
                <w:kern w:val="0"/>
                <w:sz w:val="24"/>
                <w:szCs w:val="24"/>
              </w:rPr>
              <w:t>人均公共文化财政支出（元）</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800</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color w:val="000000"/>
                <w:kern w:val="0"/>
                <w:sz w:val="24"/>
                <w:szCs w:val="24"/>
              </w:rPr>
            </w:pPr>
          </w:p>
        </w:tc>
        <w:tc>
          <w:tcPr>
            <w:tcW w:w="5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kern w:val="0"/>
                <w:sz w:val="24"/>
                <w:szCs w:val="24"/>
              </w:rPr>
            </w:pPr>
            <w:r>
              <w:rPr>
                <w:rFonts w:ascii="仿宋" w:hAnsi="仿宋" w:eastAsia="仿宋" w:cs="Times New Roman"/>
                <w:kern w:val="0"/>
                <w:sz w:val="24"/>
                <w:szCs w:val="24"/>
              </w:rPr>
              <w:t>5</w:t>
            </w:r>
          </w:p>
        </w:tc>
        <w:tc>
          <w:tcPr>
            <w:tcW w:w="384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kern w:val="0"/>
                <w:sz w:val="24"/>
                <w:szCs w:val="24"/>
              </w:rPr>
            </w:pPr>
            <w:r>
              <w:rPr>
                <w:rFonts w:hint="eastAsia" w:ascii="仿宋" w:hAnsi="仿宋" w:eastAsia="仿宋" w:cs="Times New Roman"/>
                <w:kern w:val="0"/>
                <w:sz w:val="24"/>
                <w:szCs w:val="24"/>
              </w:rPr>
              <w:t>人均公共文化体育设施面积（平方米）</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3</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6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color w:val="000000"/>
                <w:kern w:val="0"/>
                <w:sz w:val="24"/>
                <w:szCs w:val="24"/>
              </w:rPr>
            </w:pPr>
          </w:p>
        </w:tc>
        <w:tc>
          <w:tcPr>
            <w:tcW w:w="5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kern w:val="0"/>
                <w:sz w:val="24"/>
                <w:szCs w:val="24"/>
              </w:rPr>
            </w:pPr>
            <w:r>
              <w:rPr>
                <w:rFonts w:ascii="仿宋" w:hAnsi="仿宋" w:eastAsia="仿宋" w:cs="Times New Roman"/>
                <w:kern w:val="0"/>
                <w:sz w:val="24"/>
                <w:szCs w:val="24"/>
              </w:rPr>
              <w:t>6</w:t>
            </w:r>
          </w:p>
        </w:tc>
        <w:tc>
          <w:tcPr>
            <w:tcW w:w="384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kern w:val="0"/>
                <w:sz w:val="24"/>
                <w:szCs w:val="24"/>
              </w:rPr>
            </w:pPr>
            <w:r>
              <w:rPr>
                <w:rFonts w:hint="eastAsia" w:ascii="仿宋" w:hAnsi="仿宋" w:eastAsia="仿宋" w:cs="Times New Roman"/>
                <w:kern w:val="0"/>
                <w:sz w:val="24"/>
                <w:szCs w:val="24"/>
              </w:rPr>
              <w:t>“三馆一站”覆盖率（%）</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100</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b/>
                <w:kern w:val="0"/>
                <w:sz w:val="24"/>
                <w:szCs w:val="24"/>
              </w:rPr>
            </w:pPr>
            <w:r>
              <w:rPr>
                <w:rFonts w:hint="eastAsia" w:ascii="仿宋" w:hAnsi="仿宋" w:eastAsia="仿宋" w:cs="Times New Roman"/>
                <w:b/>
                <w:kern w:val="0"/>
                <w:sz w:val="24"/>
                <w:szCs w:val="24"/>
              </w:rPr>
              <w:t>民生改善</w:t>
            </w:r>
          </w:p>
          <w:p>
            <w:pPr>
              <w:jc w:val="center"/>
              <w:rPr>
                <w:rFonts w:ascii="仿宋" w:hAnsi="仿宋" w:eastAsia="仿宋" w:cs="Times New Roman"/>
                <w:b/>
                <w:kern w:val="0"/>
                <w:sz w:val="24"/>
                <w:szCs w:val="24"/>
              </w:rPr>
            </w:pPr>
            <w:r>
              <w:rPr>
                <w:rFonts w:hint="eastAsia" w:ascii="仿宋" w:hAnsi="仿宋" w:eastAsia="仿宋" w:cs="Times New Roman"/>
                <w:b/>
                <w:kern w:val="0"/>
                <w:sz w:val="24"/>
                <w:szCs w:val="24"/>
              </w:rPr>
              <w:t>达到新水平</w:t>
            </w:r>
          </w:p>
        </w:tc>
        <w:tc>
          <w:tcPr>
            <w:tcW w:w="5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kern w:val="0"/>
                <w:sz w:val="24"/>
                <w:szCs w:val="24"/>
              </w:rPr>
            </w:pPr>
            <w:r>
              <w:rPr>
                <w:rFonts w:ascii="仿宋" w:hAnsi="仿宋" w:eastAsia="仿宋" w:cs="Times New Roman"/>
                <w:kern w:val="0"/>
                <w:sz w:val="24"/>
                <w:szCs w:val="24"/>
              </w:rPr>
              <w:t>7</w:t>
            </w:r>
          </w:p>
        </w:tc>
        <w:tc>
          <w:tcPr>
            <w:tcW w:w="384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kern w:val="0"/>
                <w:sz w:val="24"/>
                <w:szCs w:val="24"/>
              </w:rPr>
            </w:pPr>
            <w:r>
              <w:rPr>
                <w:rFonts w:hint="eastAsia" w:ascii="仿宋" w:hAnsi="仿宋" w:eastAsia="仿宋" w:cs="Times New Roman"/>
                <w:kern w:val="0"/>
                <w:sz w:val="24"/>
                <w:szCs w:val="24"/>
              </w:rPr>
              <w:t>农村居民人均可支配收入增速（%）</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8.5</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color w:val="000000"/>
                <w:kern w:val="0"/>
                <w:sz w:val="24"/>
                <w:szCs w:val="24"/>
              </w:rPr>
            </w:pPr>
          </w:p>
        </w:tc>
        <w:tc>
          <w:tcPr>
            <w:tcW w:w="5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kern w:val="0"/>
                <w:sz w:val="24"/>
                <w:szCs w:val="24"/>
              </w:rPr>
            </w:pPr>
            <w:r>
              <w:rPr>
                <w:rFonts w:ascii="仿宋" w:hAnsi="仿宋" w:eastAsia="仿宋" w:cs="Times New Roman"/>
                <w:kern w:val="0"/>
                <w:sz w:val="24"/>
                <w:szCs w:val="24"/>
              </w:rPr>
              <w:t>8</w:t>
            </w:r>
          </w:p>
        </w:tc>
        <w:tc>
          <w:tcPr>
            <w:tcW w:w="384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kern w:val="0"/>
                <w:sz w:val="24"/>
                <w:szCs w:val="24"/>
              </w:rPr>
            </w:pPr>
            <w:r>
              <w:rPr>
                <w:rFonts w:hint="eastAsia" w:ascii="仿宋" w:hAnsi="仿宋" w:eastAsia="仿宋" w:cs="Times New Roman"/>
                <w:kern w:val="0"/>
                <w:sz w:val="24"/>
                <w:szCs w:val="24"/>
              </w:rPr>
              <w:t>城镇登记失业率（%）</w:t>
            </w:r>
          </w:p>
        </w:tc>
        <w:tc>
          <w:tcPr>
            <w:tcW w:w="115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&lt;1</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b/>
                <w:color w:val="000000"/>
                <w:kern w:val="0"/>
                <w:sz w:val="24"/>
                <w:szCs w:val="24"/>
              </w:rPr>
            </w:pPr>
          </w:p>
        </w:tc>
        <w:tc>
          <w:tcPr>
            <w:tcW w:w="5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kern w:val="0"/>
                <w:sz w:val="24"/>
                <w:szCs w:val="24"/>
              </w:rPr>
            </w:pPr>
            <w:r>
              <w:rPr>
                <w:rFonts w:ascii="仿宋" w:hAnsi="仿宋" w:eastAsia="仿宋" w:cs="Times New Roman"/>
                <w:kern w:val="0"/>
                <w:sz w:val="24"/>
                <w:szCs w:val="24"/>
              </w:rPr>
              <w:t>9</w:t>
            </w:r>
          </w:p>
        </w:tc>
        <w:tc>
          <w:tcPr>
            <w:tcW w:w="384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kern w:val="0"/>
                <w:sz w:val="24"/>
                <w:szCs w:val="24"/>
              </w:rPr>
            </w:pPr>
            <w:r>
              <w:rPr>
                <w:rFonts w:hint="eastAsia" w:ascii="仿宋" w:hAnsi="仿宋" w:eastAsia="仿宋" w:cs="Times New Roman"/>
                <w:kern w:val="0"/>
                <w:sz w:val="24"/>
                <w:szCs w:val="24"/>
              </w:rPr>
              <w:t>重点食品安全监测抽查合格率（%）</w:t>
            </w:r>
          </w:p>
        </w:tc>
        <w:tc>
          <w:tcPr>
            <w:tcW w:w="115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&gt;98</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4" w:type="dxa"/>
            <w:vMerge w:val="restart"/>
            <w:tcBorders>
              <w:top w:val="single" w:color="auto" w:sz="4" w:space="0"/>
              <w:left w:val="single" w:color="auto" w:sz="4" w:space="0"/>
              <w:right w:val="single" w:color="auto" w:sz="4" w:space="0"/>
            </w:tcBorders>
            <w:vAlign w:val="center"/>
          </w:tcPr>
          <w:p>
            <w:pPr>
              <w:jc w:val="center"/>
              <w:rPr>
                <w:rFonts w:ascii="仿宋" w:hAnsi="仿宋" w:eastAsia="仿宋" w:cs="Times New Roman"/>
                <w:b/>
                <w:kern w:val="0"/>
                <w:sz w:val="24"/>
                <w:szCs w:val="24"/>
              </w:rPr>
            </w:pPr>
            <w:r>
              <w:rPr>
                <w:rFonts w:hint="eastAsia" w:ascii="仿宋" w:hAnsi="仿宋" w:eastAsia="仿宋" w:cs="Times New Roman"/>
                <w:b/>
                <w:kern w:val="0"/>
                <w:sz w:val="24"/>
                <w:szCs w:val="24"/>
              </w:rPr>
              <w:t>生态建设</w:t>
            </w:r>
          </w:p>
          <w:p>
            <w:pPr>
              <w:jc w:val="center"/>
              <w:rPr>
                <w:rFonts w:ascii="仿宋" w:hAnsi="仿宋" w:eastAsia="仿宋" w:cs="Times New Roman"/>
                <w:b/>
                <w:kern w:val="0"/>
                <w:sz w:val="24"/>
                <w:szCs w:val="24"/>
              </w:rPr>
            </w:pPr>
            <w:r>
              <w:rPr>
                <w:rFonts w:hint="eastAsia" w:ascii="仿宋" w:hAnsi="仿宋" w:eastAsia="仿宋" w:cs="Times New Roman"/>
                <w:b/>
                <w:kern w:val="0"/>
                <w:sz w:val="24"/>
                <w:szCs w:val="24"/>
              </w:rPr>
              <w:t>取得新进步</w:t>
            </w:r>
          </w:p>
        </w:tc>
        <w:tc>
          <w:tcPr>
            <w:tcW w:w="5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kern w:val="0"/>
                <w:sz w:val="24"/>
                <w:szCs w:val="24"/>
              </w:rPr>
            </w:pPr>
            <w:r>
              <w:rPr>
                <w:rFonts w:ascii="仿宋" w:hAnsi="仿宋" w:eastAsia="仿宋" w:cs="Times New Roman"/>
                <w:kern w:val="0"/>
                <w:sz w:val="24"/>
                <w:szCs w:val="24"/>
              </w:rPr>
              <w:t>10</w:t>
            </w:r>
          </w:p>
        </w:tc>
        <w:tc>
          <w:tcPr>
            <w:tcW w:w="384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kern w:val="0"/>
                <w:sz w:val="24"/>
                <w:szCs w:val="24"/>
              </w:rPr>
            </w:pPr>
            <w:r>
              <w:rPr>
                <w:rFonts w:hint="eastAsia" w:ascii="仿宋" w:hAnsi="仿宋" w:eastAsia="仿宋" w:cs="Times New Roman"/>
                <w:kern w:val="0"/>
                <w:sz w:val="24"/>
                <w:szCs w:val="24"/>
              </w:rPr>
              <w:t>PM2.5年均浓度（微克/立方米）</w:t>
            </w:r>
          </w:p>
        </w:tc>
        <w:tc>
          <w:tcPr>
            <w:tcW w:w="115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达到区级要求</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4" w:type="dxa"/>
            <w:vMerge w:val="continue"/>
            <w:tcBorders>
              <w:left w:val="single" w:color="auto" w:sz="4" w:space="0"/>
              <w:right w:val="single" w:color="auto" w:sz="4" w:space="0"/>
            </w:tcBorders>
            <w:vAlign w:val="center"/>
          </w:tcPr>
          <w:p>
            <w:pPr>
              <w:widowControl/>
              <w:jc w:val="left"/>
              <w:rPr>
                <w:rFonts w:ascii="仿宋" w:hAnsi="仿宋" w:eastAsia="仿宋" w:cs="宋体"/>
                <w:b/>
                <w:color w:val="000000"/>
                <w:kern w:val="0"/>
                <w:sz w:val="24"/>
                <w:szCs w:val="24"/>
              </w:rPr>
            </w:pPr>
          </w:p>
        </w:tc>
        <w:tc>
          <w:tcPr>
            <w:tcW w:w="5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kern w:val="0"/>
                <w:sz w:val="24"/>
                <w:szCs w:val="24"/>
              </w:rPr>
            </w:pPr>
            <w:r>
              <w:rPr>
                <w:rFonts w:ascii="仿宋" w:hAnsi="仿宋" w:eastAsia="仿宋" w:cs="Times New Roman"/>
                <w:kern w:val="0"/>
                <w:sz w:val="24"/>
                <w:szCs w:val="24"/>
              </w:rPr>
              <w:t>11</w:t>
            </w:r>
          </w:p>
        </w:tc>
        <w:tc>
          <w:tcPr>
            <w:tcW w:w="384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kern w:val="0"/>
                <w:sz w:val="24"/>
                <w:szCs w:val="24"/>
              </w:rPr>
            </w:pPr>
            <w:r>
              <w:rPr>
                <w:rFonts w:hint="eastAsia" w:ascii="仿宋" w:hAnsi="仿宋" w:eastAsia="仿宋" w:cs="Times New Roman"/>
                <w:kern w:val="0"/>
                <w:sz w:val="24"/>
                <w:szCs w:val="24"/>
              </w:rPr>
              <w:t>森林覆盖率（%）</w:t>
            </w:r>
          </w:p>
        </w:tc>
        <w:tc>
          <w:tcPr>
            <w:tcW w:w="115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30</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4" w:type="dxa"/>
            <w:vMerge w:val="continue"/>
            <w:tcBorders>
              <w:left w:val="single" w:color="auto" w:sz="4" w:space="0"/>
              <w:right w:val="single" w:color="auto" w:sz="4" w:space="0"/>
            </w:tcBorders>
            <w:vAlign w:val="center"/>
          </w:tcPr>
          <w:p>
            <w:pPr>
              <w:widowControl/>
              <w:jc w:val="left"/>
              <w:rPr>
                <w:rFonts w:ascii="仿宋" w:hAnsi="仿宋" w:eastAsia="仿宋" w:cs="宋体"/>
                <w:b/>
                <w:color w:val="000000"/>
                <w:kern w:val="0"/>
                <w:sz w:val="24"/>
                <w:szCs w:val="24"/>
              </w:rPr>
            </w:pPr>
          </w:p>
        </w:tc>
        <w:tc>
          <w:tcPr>
            <w:tcW w:w="5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kern w:val="0"/>
                <w:sz w:val="24"/>
                <w:szCs w:val="24"/>
              </w:rPr>
            </w:pPr>
            <w:r>
              <w:rPr>
                <w:rFonts w:ascii="仿宋" w:hAnsi="仿宋" w:eastAsia="仿宋" w:cs="Times New Roman"/>
                <w:kern w:val="0"/>
                <w:sz w:val="24"/>
                <w:szCs w:val="24"/>
              </w:rPr>
              <w:t>12</w:t>
            </w:r>
          </w:p>
        </w:tc>
        <w:tc>
          <w:tcPr>
            <w:tcW w:w="384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kern w:val="0"/>
                <w:sz w:val="24"/>
                <w:szCs w:val="24"/>
              </w:rPr>
            </w:pPr>
            <w:r>
              <w:rPr>
                <w:rFonts w:hint="eastAsia" w:ascii="仿宋" w:hAnsi="仿宋" w:eastAsia="仿宋" w:cs="Times New Roman"/>
                <w:kern w:val="0"/>
                <w:sz w:val="24"/>
                <w:szCs w:val="24"/>
              </w:rPr>
              <w:t>生活垃圾无害化处理率（%）</w:t>
            </w:r>
          </w:p>
        </w:tc>
        <w:tc>
          <w:tcPr>
            <w:tcW w:w="115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&gt;99.8</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4" w:type="dxa"/>
            <w:vMerge w:val="continue"/>
            <w:tcBorders>
              <w:left w:val="single" w:color="auto" w:sz="4" w:space="0"/>
              <w:right w:val="single" w:color="auto" w:sz="4" w:space="0"/>
            </w:tcBorders>
            <w:vAlign w:val="center"/>
          </w:tcPr>
          <w:p>
            <w:pPr>
              <w:widowControl/>
              <w:jc w:val="left"/>
              <w:rPr>
                <w:rFonts w:ascii="仿宋" w:hAnsi="仿宋" w:eastAsia="仿宋" w:cs="宋体"/>
                <w:b/>
                <w:color w:val="000000"/>
                <w:kern w:val="0"/>
                <w:sz w:val="24"/>
                <w:szCs w:val="24"/>
              </w:rPr>
            </w:pPr>
          </w:p>
        </w:tc>
        <w:tc>
          <w:tcPr>
            <w:tcW w:w="5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1</w:t>
            </w:r>
            <w:r>
              <w:rPr>
                <w:rFonts w:ascii="仿宋" w:hAnsi="仿宋" w:eastAsia="仿宋" w:cs="Times New Roman"/>
                <w:kern w:val="0"/>
                <w:sz w:val="24"/>
                <w:szCs w:val="24"/>
              </w:rPr>
              <w:t>3</w:t>
            </w:r>
          </w:p>
        </w:tc>
        <w:tc>
          <w:tcPr>
            <w:tcW w:w="384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kern w:val="0"/>
                <w:sz w:val="24"/>
                <w:szCs w:val="24"/>
              </w:rPr>
            </w:pPr>
            <w:r>
              <w:rPr>
                <w:rFonts w:hint="eastAsia" w:ascii="仿宋" w:hAnsi="仿宋" w:eastAsia="仿宋" w:cs="Times New Roman"/>
                <w:kern w:val="0"/>
                <w:sz w:val="24"/>
                <w:szCs w:val="24"/>
              </w:rPr>
              <w:t>全镇污水处理率（%）</w:t>
            </w:r>
          </w:p>
        </w:tc>
        <w:tc>
          <w:tcPr>
            <w:tcW w:w="1155"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95</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4" w:type="dxa"/>
            <w:vMerge w:val="restart"/>
            <w:tcBorders>
              <w:left w:val="single" w:color="auto" w:sz="4" w:space="0"/>
              <w:right w:val="single" w:color="auto" w:sz="4" w:space="0"/>
            </w:tcBorders>
            <w:vAlign w:val="center"/>
          </w:tcPr>
          <w:p>
            <w:pPr>
              <w:jc w:val="center"/>
              <w:rPr>
                <w:rFonts w:ascii="仿宋" w:hAnsi="仿宋" w:eastAsia="仿宋" w:cs="Times New Roman"/>
                <w:b/>
                <w:kern w:val="0"/>
                <w:sz w:val="24"/>
                <w:szCs w:val="24"/>
              </w:rPr>
            </w:pPr>
            <w:r>
              <w:rPr>
                <w:rFonts w:hint="eastAsia" w:ascii="仿宋" w:hAnsi="仿宋" w:eastAsia="仿宋" w:cs="Times New Roman"/>
                <w:b/>
                <w:kern w:val="0"/>
                <w:sz w:val="24"/>
                <w:szCs w:val="24"/>
              </w:rPr>
              <w:t>法治建设</w:t>
            </w:r>
          </w:p>
          <w:p>
            <w:pPr>
              <w:widowControl/>
              <w:jc w:val="left"/>
              <w:rPr>
                <w:rFonts w:ascii="仿宋" w:hAnsi="仿宋" w:eastAsia="仿宋" w:cs="宋体"/>
                <w:b/>
                <w:color w:val="000000"/>
                <w:kern w:val="0"/>
                <w:sz w:val="24"/>
                <w:szCs w:val="24"/>
              </w:rPr>
            </w:pPr>
            <w:r>
              <w:rPr>
                <w:rFonts w:hint="eastAsia" w:ascii="仿宋" w:hAnsi="仿宋" w:eastAsia="仿宋" w:cs="Times New Roman"/>
                <w:b/>
                <w:kern w:val="0"/>
                <w:sz w:val="24"/>
                <w:szCs w:val="24"/>
              </w:rPr>
              <w:t>得到新提升</w:t>
            </w:r>
          </w:p>
        </w:tc>
        <w:tc>
          <w:tcPr>
            <w:tcW w:w="5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kern w:val="0"/>
                <w:sz w:val="24"/>
                <w:szCs w:val="24"/>
              </w:rPr>
            </w:pPr>
            <w:r>
              <w:rPr>
                <w:rFonts w:ascii="仿宋" w:hAnsi="仿宋" w:eastAsia="仿宋" w:cs="Times New Roman"/>
                <w:kern w:val="0"/>
                <w:sz w:val="24"/>
                <w:szCs w:val="24"/>
              </w:rPr>
              <w:t>14</w:t>
            </w:r>
          </w:p>
        </w:tc>
        <w:tc>
          <w:tcPr>
            <w:tcW w:w="384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kern w:val="0"/>
                <w:sz w:val="24"/>
                <w:szCs w:val="24"/>
              </w:rPr>
            </w:pPr>
            <w:r>
              <w:rPr>
                <w:rFonts w:hint="eastAsia" w:ascii="仿宋" w:hAnsi="仿宋" w:eastAsia="仿宋" w:cs="Times New Roman"/>
                <w:kern w:val="0"/>
                <w:sz w:val="24"/>
                <w:szCs w:val="24"/>
              </w:rPr>
              <w:t>规章、规范性文件的报备率和报备及时率、规范率（%）</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100</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54" w:type="dxa"/>
            <w:vMerge w:val="continue"/>
            <w:tcBorders>
              <w:left w:val="single" w:color="auto" w:sz="4" w:space="0"/>
              <w:bottom w:val="single" w:color="auto" w:sz="4" w:space="0"/>
              <w:right w:val="single" w:color="auto" w:sz="4" w:space="0"/>
            </w:tcBorders>
            <w:vAlign w:val="center"/>
          </w:tcPr>
          <w:p>
            <w:pPr>
              <w:widowControl/>
              <w:jc w:val="left"/>
              <w:rPr>
                <w:rFonts w:ascii="仿宋" w:hAnsi="仿宋" w:eastAsia="仿宋" w:cs="宋体"/>
                <w:b/>
                <w:color w:val="000000"/>
                <w:kern w:val="0"/>
                <w:sz w:val="24"/>
                <w:szCs w:val="24"/>
              </w:rPr>
            </w:pPr>
          </w:p>
        </w:tc>
        <w:tc>
          <w:tcPr>
            <w:tcW w:w="5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kern w:val="0"/>
                <w:sz w:val="24"/>
                <w:szCs w:val="24"/>
              </w:rPr>
            </w:pPr>
            <w:r>
              <w:rPr>
                <w:rFonts w:ascii="仿宋" w:hAnsi="仿宋" w:eastAsia="仿宋" w:cs="Times New Roman"/>
                <w:kern w:val="0"/>
                <w:sz w:val="24"/>
                <w:szCs w:val="24"/>
              </w:rPr>
              <w:t>15</w:t>
            </w:r>
          </w:p>
        </w:tc>
        <w:tc>
          <w:tcPr>
            <w:tcW w:w="3847"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Times New Roman"/>
                <w:kern w:val="0"/>
                <w:sz w:val="24"/>
                <w:szCs w:val="24"/>
              </w:rPr>
            </w:pPr>
            <w:r>
              <w:rPr>
                <w:rFonts w:hint="eastAsia" w:ascii="仿宋" w:hAnsi="仿宋" w:eastAsia="仿宋" w:cs="Times New Roman"/>
                <w:kern w:val="0"/>
                <w:sz w:val="24"/>
                <w:szCs w:val="24"/>
              </w:rPr>
              <w:t>社会公众对政府立法和规范性文件制定发布工作的总体满意度（%）</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100</w:t>
            </w:r>
          </w:p>
        </w:tc>
        <w:tc>
          <w:tcPr>
            <w:tcW w:w="115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Times New Roman"/>
                <w:kern w:val="0"/>
                <w:sz w:val="24"/>
                <w:szCs w:val="24"/>
              </w:rPr>
            </w:pPr>
            <w:r>
              <w:rPr>
                <w:rFonts w:hint="eastAsia" w:ascii="仿宋" w:hAnsi="仿宋" w:eastAsia="仿宋" w:cs="Times New Roman"/>
                <w:kern w:val="0"/>
                <w:sz w:val="24"/>
                <w:szCs w:val="24"/>
              </w:rPr>
              <w:t>约束性</w:t>
            </w:r>
          </w:p>
        </w:tc>
      </w:tr>
    </w:tbl>
    <w:p>
      <w:pPr>
        <w:spacing w:line="360" w:lineRule="auto"/>
        <w:rPr>
          <w:rFonts w:ascii="仿宋_GB2312" w:eastAsia="仿宋_GB2312"/>
          <w:sz w:val="32"/>
          <w:szCs w:val="32"/>
        </w:rPr>
      </w:pPr>
    </w:p>
    <w:p>
      <w:pPr>
        <w:pStyle w:val="21"/>
        <w:spacing w:before="156" w:beforeLines="50" w:after="156" w:afterLines="50"/>
        <w:ind w:firstLine="640"/>
        <w:outlineLvl w:val="2"/>
        <w:rPr>
          <w:rFonts w:ascii="仿宋_GB2312" w:hAnsi="仿宋" w:eastAsia="仿宋_GB2312"/>
          <w:b/>
          <w:sz w:val="32"/>
          <w:szCs w:val="32"/>
        </w:rPr>
      </w:pPr>
      <w:r>
        <w:rPr>
          <w:rFonts w:ascii="仿宋_GB2312" w:hAnsi="仿宋" w:eastAsia="仿宋_GB2312"/>
          <w:b/>
          <w:sz w:val="32"/>
          <w:szCs w:val="32"/>
        </w:rPr>
        <w:t>4</w:t>
      </w:r>
      <w:r>
        <w:rPr>
          <w:rFonts w:hint="eastAsia" w:ascii="仿宋_GB2312" w:hAnsi="仿宋" w:eastAsia="仿宋_GB2312"/>
          <w:b/>
          <w:sz w:val="32"/>
          <w:szCs w:val="32"/>
        </w:rPr>
        <w:t>、空间布局</w:t>
      </w:r>
    </w:p>
    <w:p>
      <w:pPr>
        <w:rPr>
          <w:rFonts w:ascii="仿宋_GB2312" w:eastAsia="仿宋_GB2312"/>
          <w:sz w:val="32"/>
          <w:szCs w:val="32"/>
        </w:rPr>
      </w:pPr>
      <w:r>
        <w:rPr>
          <w:rFonts w:hint="eastAsia" w:ascii="仿宋_GB2312" w:eastAsia="仿宋_GB2312"/>
          <w:sz w:val="32"/>
          <w:szCs w:val="32"/>
        </w:rPr>
        <w:t xml:space="preserve">    从京津冀协同发展、临空经济合作区等战略着眼，统筹谋划城乡、产业和生态空间，打造</w:t>
      </w:r>
      <w:r>
        <w:rPr>
          <w:rFonts w:hint="eastAsia" w:ascii="仿宋_GB2312" w:eastAsia="仿宋_GB2312"/>
          <w:b/>
          <w:sz w:val="32"/>
          <w:szCs w:val="32"/>
        </w:rPr>
        <w:t>“一核、两廊、两区、多点”</w:t>
      </w:r>
      <w:r>
        <w:rPr>
          <w:rFonts w:hint="eastAsia" w:ascii="仿宋_GB2312" w:eastAsia="仿宋_GB2312"/>
          <w:sz w:val="32"/>
          <w:szCs w:val="32"/>
        </w:rPr>
        <w:t>的空间</w:t>
      </w:r>
      <w:r>
        <w:rPr>
          <w:rFonts w:ascii="仿宋_GB2312" w:eastAsia="仿宋_GB2312"/>
          <w:sz w:val="32"/>
          <w:szCs w:val="32"/>
        </w:rPr>
        <w:t>布局</w:t>
      </w:r>
      <w:r>
        <w:rPr>
          <w:rFonts w:hint="eastAsia" w:ascii="仿宋_GB2312" w:eastAsia="仿宋_GB2312"/>
          <w:sz w:val="32"/>
          <w:szCs w:val="32"/>
        </w:rPr>
        <w:t>。</w:t>
      </w:r>
    </w:p>
    <w:p>
      <w:pPr>
        <w:rPr>
          <w:rFonts w:ascii="仿宋_GB2312" w:eastAsia="仿宋_GB2312"/>
          <w:sz w:val="32"/>
          <w:szCs w:val="32"/>
        </w:rPr>
      </w:pPr>
      <w:bookmarkStart w:id="14" w:name="_Toc437173090"/>
      <w:bookmarkStart w:id="15" w:name="_Toc441572529"/>
      <w:r>
        <w:rPr>
          <w:rFonts w:hint="eastAsia" w:ascii="仿宋_GB2312" w:eastAsia="仿宋_GB2312"/>
          <w:sz w:val="32"/>
          <w:szCs w:val="32"/>
        </w:rPr>
        <w:t xml:space="preserve">    </w:t>
      </w:r>
      <w:bookmarkEnd w:id="14"/>
      <w:bookmarkEnd w:id="15"/>
      <w:bookmarkStart w:id="16" w:name="_Toc427237677"/>
      <w:r>
        <w:rPr>
          <w:rFonts w:hint="eastAsia" w:ascii="仿宋" w:hAnsi="仿宋" w:eastAsia="仿宋"/>
          <w:b/>
          <w:sz w:val="32"/>
          <w:szCs w:val="32"/>
        </w:rPr>
        <w:t>“一核</w:t>
      </w:r>
      <w:r>
        <w:rPr>
          <w:rFonts w:hint="eastAsia" w:ascii="仿宋" w:hAnsi="仿宋" w:eastAsia="仿宋"/>
          <w:sz w:val="32"/>
          <w:szCs w:val="32"/>
        </w:rPr>
        <w:t>”</w:t>
      </w:r>
      <w:r>
        <w:rPr>
          <w:rFonts w:hint="eastAsia" w:ascii="仿宋_GB2312" w:eastAsia="仿宋_GB2312"/>
          <w:sz w:val="32"/>
          <w:szCs w:val="32"/>
        </w:rPr>
        <w:t>即镇区，是全镇的政治、经济、社会、文化的核心区，是对外开展交流合作、对内统筹镇域发展的核心区，具有行政管理、公共服务、经济发展、文化建设、社会治理的功能。</w:t>
      </w:r>
      <w:bookmarkEnd w:id="16"/>
    </w:p>
    <w:p>
      <w:pPr>
        <w:spacing w:line="360" w:lineRule="auto"/>
        <w:ind w:firstLine="560"/>
        <w:rPr>
          <w:rFonts w:ascii="仿宋_GB2312" w:eastAsia="仿宋_GB2312"/>
          <w:sz w:val="32"/>
          <w:szCs w:val="32"/>
        </w:rPr>
      </w:pPr>
      <w:bookmarkStart w:id="17" w:name="_Toc427237682"/>
      <w:r>
        <w:rPr>
          <w:rFonts w:hint="eastAsia" w:ascii="仿宋" w:hAnsi="仿宋" w:eastAsia="仿宋"/>
          <w:b/>
          <w:sz w:val="32"/>
          <w:szCs w:val="32"/>
        </w:rPr>
        <w:t>“两廊”</w:t>
      </w:r>
      <w:r>
        <w:rPr>
          <w:rFonts w:ascii="黑体" w:hAnsi="黑体" w:eastAsia="黑体"/>
          <w:b/>
          <w:sz w:val="32"/>
          <w:szCs w:val="32"/>
        </w:rPr>
        <w:t>，</w:t>
      </w:r>
      <w:r>
        <w:rPr>
          <w:rFonts w:hint="eastAsia" w:ascii="仿宋_GB2312" w:eastAsia="仿宋_GB2312"/>
          <w:sz w:val="32"/>
          <w:szCs w:val="32"/>
        </w:rPr>
        <w:t>即永定河绿色生态走廊和永兴河水岸经济走廊。</w:t>
      </w:r>
    </w:p>
    <w:p>
      <w:pPr>
        <w:spacing w:line="360" w:lineRule="auto"/>
        <w:ind w:firstLine="560"/>
        <w:rPr>
          <w:rFonts w:ascii="仿宋_GB2312" w:eastAsia="仿宋_GB2312"/>
          <w:sz w:val="32"/>
          <w:szCs w:val="32"/>
        </w:rPr>
      </w:pPr>
      <w:r>
        <w:rPr>
          <w:rFonts w:hint="eastAsia" w:ascii="仿宋_GB2312" w:eastAsia="仿宋_GB2312"/>
          <w:b/>
          <w:sz w:val="32"/>
          <w:szCs w:val="32"/>
        </w:rPr>
        <w:t>“永定河绿色生态走廊”</w:t>
      </w:r>
      <w:r>
        <w:rPr>
          <w:rFonts w:ascii="仿宋_GB2312" w:eastAsia="仿宋_GB2312"/>
          <w:b/>
          <w:sz w:val="32"/>
          <w:szCs w:val="32"/>
        </w:rPr>
        <w:t>。</w:t>
      </w:r>
      <w:r>
        <w:rPr>
          <w:rFonts w:hint="eastAsia" w:ascii="仿宋_GB2312" w:eastAsia="仿宋_GB2312"/>
          <w:sz w:val="32"/>
          <w:szCs w:val="32"/>
        </w:rPr>
        <w:t>在恢复生态环境的基础上，充分发挥永定河纵向连通作用，通过永定河绿道工程和平原造林计划，打造集主题休闲游、绿色健康游、体育休闲游、深度体验游等为一体的高端绿色生态走廊。</w:t>
      </w:r>
    </w:p>
    <w:p>
      <w:pPr>
        <w:spacing w:line="360" w:lineRule="auto"/>
        <w:ind w:firstLine="560"/>
        <w:rPr>
          <w:rFonts w:ascii="仿宋_GB2312" w:eastAsia="仿宋_GB2312"/>
          <w:sz w:val="32"/>
          <w:szCs w:val="32"/>
        </w:rPr>
      </w:pPr>
      <w:r>
        <w:rPr>
          <w:rFonts w:hint="eastAsia" w:ascii="仿宋_GB2312" w:eastAsia="仿宋_GB2312"/>
          <w:b/>
          <w:sz w:val="32"/>
          <w:szCs w:val="32"/>
        </w:rPr>
        <w:t>“永兴河水岸经济走廊”</w:t>
      </w:r>
      <w:r>
        <w:rPr>
          <w:rFonts w:ascii="仿宋_GB2312" w:eastAsia="仿宋_GB2312"/>
          <w:b/>
          <w:sz w:val="32"/>
          <w:szCs w:val="32"/>
        </w:rPr>
        <w:t>。</w:t>
      </w:r>
      <w:r>
        <w:rPr>
          <w:rFonts w:hint="eastAsia" w:ascii="仿宋_GB2312" w:eastAsia="仿宋_GB2312"/>
          <w:sz w:val="32"/>
          <w:szCs w:val="32"/>
        </w:rPr>
        <w:t>依托京开高速及永兴河，建设多个国际高端商务休闲项目（龙熙国际商务会所、永兴河滨水休闲广场、滨河国际餐饮酒吧街等），打造国际高端水岸经济走廊，形成国际高端商务人士居住和休闲度假氛围。</w:t>
      </w:r>
    </w:p>
    <w:bookmarkEnd w:id="17"/>
    <w:p>
      <w:pPr>
        <w:spacing w:line="360" w:lineRule="auto"/>
        <w:rPr>
          <w:rFonts w:ascii="仿宋_GB2312" w:eastAsia="仿宋_GB2312"/>
          <w:sz w:val="32"/>
          <w:szCs w:val="32"/>
        </w:rPr>
      </w:pPr>
      <w:r>
        <w:rPr>
          <w:rFonts w:ascii="仿宋_GB2312" w:eastAsia="仿宋_GB2312"/>
          <w:sz w:val="32"/>
          <w:szCs w:val="32"/>
        </w:rPr>
        <w:t xml:space="preserve">    </w:t>
      </w:r>
      <w:r>
        <w:rPr>
          <w:rFonts w:hint="eastAsia" w:ascii="仿宋_GB2312" w:eastAsia="仿宋_GB2312"/>
          <w:b/>
          <w:sz w:val="32"/>
          <w:szCs w:val="32"/>
        </w:rPr>
        <w:t>“两区”</w:t>
      </w:r>
      <w:r>
        <w:rPr>
          <w:rFonts w:ascii="仿宋_GB2312" w:eastAsia="仿宋_GB2312"/>
          <w:sz w:val="32"/>
          <w:szCs w:val="32"/>
        </w:rPr>
        <w:t>，</w:t>
      </w:r>
      <w:r>
        <w:rPr>
          <w:rFonts w:hint="eastAsia" w:ascii="仿宋_GB2312" w:eastAsia="仿宋_GB2312"/>
          <w:sz w:val="32"/>
          <w:szCs w:val="32"/>
        </w:rPr>
        <w:t>即东部优化提升区和西部重点发展区。</w:t>
      </w:r>
    </w:p>
    <w:p>
      <w:pPr>
        <w:spacing w:line="360" w:lineRule="auto"/>
        <w:rPr>
          <w:rFonts w:ascii="仿宋_GB2312" w:eastAsia="仿宋_GB2312"/>
          <w:sz w:val="32"/>
          <w:szCs w:val="32"/>
        </w:rPr>
      </w:pPr>
      <w:r>
        <w:rPr>
          <w:rFonts w:hint="eastAsia" w:ascii="仿宋_GB2312" w:eastAsia="仿宋_GB2312"/>
          <w:sz w:val="32"/>
          <w:szCs w:val="32"/>
        </w:rPr>
        <w:t xml:space="preserve">    东部优化提升区。依托西瓜小镇、老宋瓜园等一系列民俗及田园文化主题等，打造特色餐饮、观光体验、艺术文化表演等，整合各类资源有序开发，以休闲度假为核心，逐步优化升级深度体验产品。</w:t>
      </w:r>
    </w:p>
    <w:p>
      <w:pPr>
        <w:spacing w:line="360" w:lineRule="auto"/>
        <w:rPr>
          <w:rFonts w:ascii="仿宋_GB2312" w:eastAsia="仿宋_GB2312"/>
          <w:sz w:val="32"/>
          <w:szCs w:val="32"/>
        </w:rPr>
      </w:pPr>
      <w:r>
        <w:rPr>
          <w:rFonts w:ascii="仿宋_GB2312" w:eastAsia="仿宋_GB2312"/>
          <w:sz w:val="32"/>
          <w:szCs w:val="32"/>
        </w:rPr>
        <w:t xml:space="preserve">    </w:t>
      </w:r>
      <w:r>
        <w:rPr>
          <w:rFonts w:hint="eastAsia" w:ascii="仿宋_GB2312" w:eastAsia="仿宋_GB2312"/>
          <w:sz w:val="32"/>
          <w:szCs w:val="32"/>
        </w:rPr>
        <w:t>西部重点发展区。以临空经济服务区建设为契机，重点推进城乡一体化建设，协调推进艺术梨花小镇、东赵路现代农业产业带、永定河生态景观带、芦求路甘薯特色观光采摘体验带等建设。</w:t>
      </w:r>
    </w:p>
    <w:p>
      <w:pPr>
        <w:spacing w:line="360" w:lineRule="auto"/>
        <w:rPr>
          <w:rFonts w:ascii="仿宋_GB2312" w:eastAsia="仿宋_GB2312"/>
          <w:sz w:val="32"/>
          <w:szCs w:val="32"/>
        </w:rPr>
      </w:pPr>
      <w:bookmarkStart w:id="18" w:name="_Toc441572533"/>
      <w:r>
        <w:rPr>
          <w:rFonts w:ascii="仿宋_GB2312" w:eastAsia="仿宋_GB2312"/>
          <w:sz w:val="32"/>
          <w:szCs w:val="32"/>
        </w:rPr>
        <w:t xml:space="preserve">   </w:t>
      </w:r>
      <w:r>
        <w:rPr>
          <w:rFonts w:ascii="黑体" w:hAnsi="黑体" w:eastAsia="黑体"/>
          <w:b/>
          <w:sz w:val="32"/>
          <w:szCs w:val="32"/>
        </w:rPr>
        <w:t xml:space="preserve"> “多点</w:t>
      </w:r>
      <w:bookmarkEnd w:id="18"/>
      <w:r>
        <w:rPr>
          <w:rFonts w:hint="eastAsia" w:ascii="黑体" w:hAnsi="黑体" w:eastAsia="黑体"/>
          <w:b/>
          <w:sz w:val="32"/>
          <w:szCs w:val="32"/>
        </w:rPr>
        <w:t>”</w:t>
      </w:r>
      <w:r>
        <w:rPr>
          <w:rFonts w:ascii="黑体" w:hAnsi="黑体" w:eastAsia="黑体"/>
          <w:b/>
          <w:sz w:val="32"/>
          <w:szCs w:val="32"/>
        </w:rPr>
        <w:t>，</w:t>
      </w:r>
      <w:r>
        <w:rPr>
          <w:rFonts w:hint="eastAsia" w:ascii="仿宋_GB2312" w:eastAsia="仿宋_GB2312"/>
          <w:sz w:val="32"/>
          <w:szCs w:val="32"/>
        </w:rPr>
        <w:t>即多个重点发展村庄。</w:t>
      </w:r>
    </w:p>
    <w:p>
      <w:pPr>
        <w:spacing w:line="360" w:lineRule="auto"/>
        <w:rPr>
          <w:rFonts w:ascii="仿宋_GB2312" w:eastAsia="仿宋_GB2312"/>
          <w:sz w:val="32"/>
          <w:szCs w:val="32"/>
        </w:rPr>
      </w:pPr>
      <w:r>
        <w:rPr>
          <w:rFonts w:hint="eastAsia" w:ascii="仿宋_GB2312" w:eastAsia="仿宋_GB2312"/>
          <w:sz w:val="32"/>
          <w:szCs w:val="32"/>
        </w:rPr>
        <w:t xml:space="preserve">    考虑各种限制要素，兼顾村庄现状生产、生活、交通等方面因素，以农村集体土地改革试点为契机，通过重点发展、引导迁建等方式，以中心村建设为重点，推进自然村合并。</w:t>
      </w:r>
    </w:p>
    <w:p>
      <w:pPr>
        <w:spacing w:line="360" w:lineRule="auto"/>
        <w:ind w:firstLine="500"/>
        <w:rPr>
          <w:rFonts w:ascii="仿宋_GB2312" w:eastAsia="仿宋_GB2312"/>
          <w:sz w:val="32"/>
          <w:szCs w:val="32"/>
        </w:rPr>
      </w:pPr>
      <w:r>
        <w:rPr>
          <w:rFonts w:hint="eastAsia" w:ascii="仿宋_GB2312" w:eastAsia="仿宋_GB2312"/>
          <w:sz w:val="32"/>
          <w:szCs w:val="32"/>
        </w:rPr>
        <w:t>按照“一村一品”、“一村一业”的发展思路，重点打造梨花村、薛营村、保安庄村、定福庄村、留民庄村、南顿垡村、西中堡村、东义堂村、张公垡村、北顿垡村。</w:t>
      </w:r>
    </w:p>
    <w:p>
      <w:pPr>
        <w:spacing w:line="360" w:lineRule="auto"/>
        <w:ind w:firstLine="500"/>
        <w:rPr>
          <w:rFonts w:ascii="仿宋_GB2312" w:eastAsia="仿宋_GB2312"/>
          <w:sz w:val="32"/>
          <w:szCs w:val="32"/>
        </w:rPr>
      </w:pPr>
    </w:p>
    <w:p>
      <w:pPr>
        <w:spacing w:line="360" w:lineRule="auto"/>
        <w:jc w:val="center"/>
        <w:rPr>
          <w:rFonts w:ascii="仿宋_GB2312" w:eastAsia="仿宋_GB2312"/>
          <w:sz w:val="28"/>
          <w:szCs w:val="28"/>
        </w:rPr>
      </w:pPr>
      <w:bookmarkStart w:id="19" w:name="_Toc438675091"/>
      <w:bookmarkStart w:id="20" w:name="_Toc444603337"/>
      <w:bookmarkStart w:id="21" w:name="_Toc441572543"/>
      <w:r>
        <w:rPr>
          <w:rFonts w:ascii="仿宋_GB2312" w:eastAsia="仿宋_GB2312"/>
          <w:sz w:val="28"/>
          <w:szCs w:val="28"/>
        </w:rPr>
        <w:drawing>
          <wp:inline distT="0" distB="0" distL="0" distR="0">
            <wp:extent cx="5274310" cy="3951605"/>
            <wp:effectExtent l="0" t="0" r="2540" b="0"/>
            <wp:docPr id="4" name="图片 4" descr="D:\MyDownloads\空间布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MyDownloads\空间布局.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5274310" cy="3951616"/>
                    </a:xfrm>
                    <a:prstGeom prst="rect">
                      <a:avLst/>
                    </a:prstGeom>
                    <a:noFill/>
                    <a:ln>
                      <a:noFill/>
                    </a:ln>
                  </pic:spPr>
                </pic:pic>
              </a:graphicData>
            </a:graphic>
          </wp:inline>
        </w:drawing>
      </w:r>
    </w:p>
    <w:p>
      <w:pPr>
        <w:spacing w:line="360" w:lineRule="auto"/>
        <w:jc w:val="center"/>
        <w:rPr>
          <w:rFonts w:ascii="黑体" w:hAnsi="黑体" w:eastAsia="黑体"/>
          <w:sz w:val="28"/>
          <w:szCs w:val="28"/>
        </w:rPr>
      </w:pPr>
      <w:r>
        <w:rPr>
          <w:rFonts w:hint="eastAsia" w:ascii="黑体" w:hAnsi="黑体" w:eastAsia="黑体"/>
          <w:sz w:val="28"/>
          <w:szCs w:val="28"/>
        </w:rPr>
        <w:t>图</w:t>
      </w:r>
      <w:r>
        <w:rPr>
          <w:rFonts w:ascii="黑体" w:hAnsi="黑体" w:eastAsia="黑体"/>
          <w:sz w:val="28"/>
          <w:szCs w:val="28"/>
        </w:rPr>
        <w:t>2</w:t>
      </w:r>
      <w:r>
        <w:rPr>
          <w:rFonts w:hint="eastAsia" w:ascii="黑体" w:hAnsi="黑体" w:eastAsia="黑体"/>
          <w:sz w:val="28"/>
          <w:szCs w:val="28"/>
        </w:rPr>
        <w:t>-1 庞各庄“十三五”总体空间布局</w:t>
      </w:r>
    </w:p>
    <w:p>
      <w:pPr>
        <w:spacing w:line="360" w:lineRule="auto"/>
        <w:jc w:val="center"/>
        <w:rPr>
          <w:rFonts w:ascii="仿宋_GB2312" w:eastAsia="仿宋_GB2312"/>
          <w:sz w:val="28"/>
          <w:szCs w:val="28"/>
        </w:rPr>
      </w:pPr>
    </w:p>
    <w:p>
      <w:pPr>
        <w:pStyle w:val="2"/>
        <w:jc w:val="left"/>
        <w:rPr>
          <w:sz w:val="36"/>
          <w:szCs w:val="36"/>
        </w:rPr>
      </w:pPr>
      <w:bookmarkStart w:id="22" w:name="_Toc460947515"/>
      <w:r>
        <w:rPr>
          <w:rFonts w:hint="eastAsia"/>
          <w:sz w:val="36"/>
          <w:szCs w:val="36"/>
        </w:rPr>
        <w:t>二、推动产业升级</w:t>
      </w:r>
      <w:bookmarkEnd w:id="19"/>
      <w:r>
        <w:rPr>
          <w:rFonts w:hint="eastAsia"/>
          <w:sz w:val="36"/>
          <w:szCs w:val="36"/>
        </w:rPr>
        <w:t>增效</w:t>
      </w:r>
      <w:bookmarkEnd w:id="20"/>
      <w:bookmarkEnd w:id="21"/>
      <w:bookmarkEnd w:id="22"/>
    </w:p>
    <w:p>
      <w:pPr>
        <w:pStyle w:val="3"/>
      </w:pPr>
      <w:bookmarkStart w:id="23" w:name="_Toc427237684"/>
      <w:bookmarkStart w:id="24" w:name="_Toc460947516"/>
      <w:bookmarkStart w:id="25" w:name="_Toc444603338"/>
      <w:bookmarkStart w:id="26" w:name="_Toc441572535"/>
      <w:bookmarkStart w:id="27" w:name="_Toc437173095"/>
      <w:r>
        <w:rPr>
          <w:rFonts w:hint="eastAsia"/>
        </w:rPr>
        <w:t>（一</w:t>
      </w:r>
      <w:bookmarkEnd w:id="23"/>
      <w:r>
        <w:rPr>
          <w:rFonts w:hint="eastAsia"/>
        </w:rPr>
        <w:t>）优化产业发展空间布局</w:t>
      </w:r>
      <w:bookmarkEnd w:id="24"/>
      <w:bookmarkEnd w:id="25"/>
    </w:p>
    <w:p>
      <w:pPr>
        <w:pStyle w:val="21"/>
        <w:spacing w:before="156" w:beforeLines="50" w:after="156" w:afterLines="50"/>
        <w:ind w:firstLine="640"/>
        <w:outlineLvl w:val="2"/>
        <w:rPr>
          <w:rFonts w:ascii="仿宋_GB2312" w:hAnsi="仿宋" w:eastAsia="仿宋_GB2312"/>
          <w:b/>
          <w:sz w:val="32"/>
          <w:szCs w:val="32"/>
        </w:rPr>
      </w:pPr>
      <w:r>
        <w:rPr>
          <w:rFonts w:ascii="仿宋_GB2312" w:hAnsi="仿宋" w:eastAsia="仿宋_GB2312"/>
          <w:b/>
          <w:sz w:val="32"/>
          <w:szCs w:val="32"/>
        </w:rPr>
        <w:t>1、强化“一部”带动</w:t>
      </w:r>
      <w:r>
        <w:rPr>
          <w:rFonts w:hint="eastAsia" w:ascii="仿宋_GB2312" w:hAnsi="仿宋" w:eastAsia="仿宋_GB2312"/>
          <w:b/>
          <w:sz w:val="32"/>
          <w:szCs w:val="32"/>
        </w:rPr>
        <w:t>效应</w:t>
      </w:r>
      <w:bookmarkEnd w:id="26"/>
      <w:bookmarkEnd w:id="27"/>
    </w:p>
    <w:p>
      <w:pPr>
        <w:rPr>
          <w:rFonts w:ascii="仿宋_GB2312" w:eastAsia="仿宋_GB2312"/>
          <w:sz w:val="32"/>
          <w:szCs w:val="32"/>
        </w:rPr>
      </w:pPr>
      <w:bookmarkStart w:id="28" w:name="_Toc427237685"/>
      <w:r>
        <w:rPr>
          <w:rFonts w:hint="eastAsia" w:ascii="仿宋_GB2312" w:eastAsia="仿宋_GB2312"/>
          <w:sz w:val="32"/>
          <w:szCs w:val="32"/>
        </w:rPr>
        <w:t xml:space="preserve">    以企业总部建设为核心，加快疏解原有工业园区的落后产业，打造国际智能家居研发设计总部、国际服装设计基地、国际文化创意基地等高附加值的产业聚集园区。着力打造以博洛尼都市工业设计园为核心的产业集群，建成国际一流、国内领先的工业设计总部经济；加快汇丰利、中化岩土、北京昆仑润滑油厂配套完善工程等项目建设步伐，大力发展创新创意、品牌一流、业态先进、带动力强的总部型企业，打造企业总部集群。</w:t>
      </w:r>
    </w:p>
    <w:bookmarkEnd w:id="28"/>
    <w:p>
      <w:pPr>
        <w:pStyle w:val="21"/>
        <w:spacing w:before="156" w:beforeLines="50" w:after="156" w:afterLines="50"/>
        <w:ind w:firstLine="640"/>
        <w:outlineLvl w:val="2"/>
        <w:rPr>
          <w:rFonts w:ascii="仿宋_GB2312" w:hAnsi="仿宋" w:eastAsia="仿宋_GB2312"/>
          <w:b/>
          <w:sz w:val="32"/>
          <w:szCs w:val="32"/>
        </w:rPr>
      </w:pPr>
      <w:bookmarkStart w:id="29" w:name="_Toc441572537"/>
      <w:bookmarkStart w:id="30" w:name="_Toc437173097"/>
      <w:r>
        <w:rPr>
          <w:rFonts w:ascii="仿宋_GB2312" w:hAnsi="仿宋" w:eastAsia="仿宋_GB2312"/>
          <w:b/>
          <w:sz w:val="32"/>
          <w:szCs w:val="32"/>
        </w:rPr>
        <w:t>2、优化“两区”升级空间</w:t>
      </w:r>
      <w:bookmarkEnd w:id="29"/>
      <w:bookmarkEnd w:id="30"/>
    </w:p>
    <w:p>
      <w:pPr>
        <w:spacing w:line="360" w:lineRule="auto"/>
        <w:rPr>
          <w:rFonts w:ascii="仿宋_GB2312" w:eastAsia="仿宋_GB2312"/>
          <w:sz w:val="32"/>
          <w:szCs w:val="32"/>
        </w:rPr>
      </w:pPr>
      <w:r>
        <w:rPr>
          <w:rFonts w:hint="eastAsia" w:ascii="仿宋_GB2312" w:eastAsia="仿宋_GB2312"/>
          <w:b/>
          <w:sz w:val="32"/>
          <w:szCs w:val="32"/>
        </w:rPr>
        <w:t xml:space="preserve">    临空经济高端服务区。</w:t>
      </w:r>
      <w:r>
        <w:rPr>
          <w:rFonts w:hint="eastAsia" w:ascii="仿宋_GB2312" w:eastAsia="仿宋_GB2312"/>
          <w:sz w:val="32"/>
          <w:szCs w:val="32"/>
        </w:rPr>
        <w:t>全力建设航空总部基地，整合提升镇区高端公共服务功能、龙熙二期国际高端商务功能、永定河东岸绿色国际高端度假功能、永兴河水岸国际高端商务休闲功能，打造具有国际化的综合性临空经济高端服务区。</w:t>
      </w:r>
    </w:p>
    <w:p>
      <w:pPr>
        <w:spacing w:line="360" w:lineRule="auto"/>
        <w:rPr>
          <w:rFonts w:ascii="仿宋_GB2312" w:eastAsia="仿宋_GB2312"/>
          <w:sz w:val="32"/>
          <w:szCs w:val="32"/>
        </w:rPr>
      </w:pPr>
      <w:r>
        <w:rPr>
          <w:rFonts w:hint="eastAsia" w:ascii="仿宋_GB2312" w:eastAsia="仿宋_GB2312"/>
          <w:b/>
          <w:sz w:val="32"/>
          <w:szCs w:val="32"/>
        </w:rPr>
        <w:t xml:space="preserve">    都市现代农业示范区。</w:t>
      </w:r>
      <w:r>
        <w:rPr>
          <w:rFonts w:hint="eastAsia" w:ascii="仿宋_GB2312" w:eastAsia="仿宋_GB2312"/>
          <w:sz w:val="32"/>
          <w:szCs w:val="32"/>
        </w:rPr>
        <w:t>以农业产业结构调整为目标，以农业科技和节水高效为导向，推进新西兰西红柿科技园、密植梨科技园、乐平西瓜博览园和汇丰利蔬菜园等“四个功能园区”建设</w:t>
      </w:r>
      <w:r>
        <w:rPr>
          <w:rFonts w:ascii="仿宋_GB2312" w:hAnsi="宋体" w:eastAsia="仿宋_GB2312" w:cs="宋体"/>
          <w:color w:val="000000"/>
          <w:kern w:val="0"/>
          <w:sz w:val="32"/>
          <w:szCs w:val="32"/>
        </w:rPr>
        <w:t>。</w:t>
      </w:r>
      <w:r>
        <w:rPr>
          <w:rFonts w:hint="eastAsia" w:ascii="仿宋_GB2312" w:eastAsia="仿宋_GB2312"/>
          <w:sz w:val="32"/>
          <w:szCs w:val="32"/>
        </w:rPr>
        <w:t>利用现有农业资源，融合文化旅游发展，打造集现代农业科技、生态休闲、智慧旅游为一体的都市现代农业示范区。</w:t>
      </w:r>
    </w:p>
    <w:p>
      <w:pPr>
        <w:pStyle w:val="21"/>
        <w:spacing w:before="156" w:beforeLines="50" w:after="156" w:afterLines="50"/>
        <w:ind w:firstLine="640"/>
        <w:outlineLvl w:val="2"/>
        <w:rPr>
          <w:rFonts w:ascii="仿宋_GB2312" w:hAnsi="仿宋" w:eastAsia="仿宋_GB2312"/>
          <w:b/>
          <w:sz w:val="32"/>
          <w:szCs w:val="32"/>
        </w:rPr>
      </w:pPr>
      <w:bookmarkStart w:id="31" w:name="_Toc441572538"/>
      <w:bookmarkStart w:id="32" w:name="_Toc437173098"/>
      <w:r>
        <w:rPr>
          <w:rFonts w:ascii="仿宋_GB2312" w:hAnsi="仿宋" w:eastAsia="仿宋_GB2312"/>
          <w:b/>
          <w:sz w:val="32"/>
          <w:szCs w:val="32"/>
        </w:rPr>
        <w:t>3、强化“两带”支撑作用</w:t>
      </w:r>
      <w:bookmarkEnd w:id="31"/>
      <w:bookmarkEnd w:id="32"/>
    </w:p>
    <w:p>
      <w:pPr>
        <w:tabs>
          <w:tab w:val="left" w:pos="709"/>
        </w:tabs>
        <w:spacing w:line="360" w:lineRule="auto"/>
        <w:ind w:firstLine="648"/>
        <w:rPr>
          <w:rFonts w:ascii="仿宋_GB2312" w:eastAsia="仿宋_GB2312"/>
          <w:b/>
          <w:sz w:val="32"/>
          <w:szCs w:val="32"/>
        </w:rPr>
      </w:pPr>
      <w:r>
        <w:rPr>
          <w:rFonts w:hint="eastAsia" w:ascii="仿宋_GB2312" w:eastAsia="仿宋_GB2312"/>
          <w:b/>
          <w:sz w:val="32"/>
          <w:szCs w:val="32"/>
        </w:rPr>
        <w:t>东赵路现代农业产业带。</w:t>
      </w:r>
      <w:r>
        <w:rPr>
          <w:rFonts w:hint="eastAsia" w:ascii="仿宋_GB2312" w:eastAsia="仿宋_GB2312"/>
          <w:sz w:val="32"/>
          <w:szCs w:val="32"/>
        </w:rPr>
        <w:t>依托爱农星农业科技园、西瓜标准化基地、密植梨生产基地、农业高科技示范园、梨花酒庄等，引进高端农业产业项目，加快发展特色农业、生态农业、科技农业，打造现代都市农业产业带。</w:t>
      </w:r>
      <w:r>
        <w:rPr>
          <w:rFonts w:ascii="仿宋_GB2312" w:eastAsia="仿宋_GB2312"/>
          <w:b/>
          <w:sz w:val="32"/>
          <w:szCs w:val="32"/>
        </w:rPr>
        <w:t xml:space="preserve"> </w:t>
      </w:r>
    </w:p>
    <w:p>
      <w:pPr>
        <w:spacing w:line="360" w:lineRule="auto"/>
        <w:ind w:firstLine="643" w:firstLineChars="200"/>
        <w:rPr>
          <w:rFonts w:ascii="仿宋_GB2312" w:eastAsia="仿宋_GB2312"/>
          <w:sz w:val="32"/>
          <w:szCs w:val="32"/>
        </w:rPr>
      </w:pPr>
      <w:r>
        <w:rPr>
          <w:rFonts w:hint="eastAsia" w:ascii="仿宋_GB2312" w:eastAsia="仿宋_GB2312"/>
          <w:b/>
          <w:sz w:val="32"/>
          <w:szCs w:val="32"/>
        </w:rPr>
        <w:t>庞安路休闲体验带。</w:t>
      </w:r>
      <w:r>
        <w:rPr>
          <w:rFonts w:hint="eastAsia" w:ascii="仿宋_GB2312" w:eastAsia="仿宋_GB2312"/>
          <w:sz w:val="32"/>
          <w:szCs w:val="32"/>
        </w:rPr>
        <w:t xml:space="preserve">依托小李瓜王采摘园、世同瓜园、老宋瓜园、龙溪温泉度假酒店、西瓜文化博览园等，大力发展特色农庄，形成由蔬菜、农田、果木、花卉等环绕农院四周式的空间结构。充分挖掘传统民风、民俗、乡土文化，以及举办乡土气息浓郁的文艺演出、娱乐活动，打造综合性文化休闲体验带。 </w:t>
      </w:r>
    </w:p>
    <w:p>
      <w:pPr>
        <w:tabs>
          <w:tab w:val="left" w:pos="709"/>
        </w:tabs>
        <w:spacing w:line="360" w:lineRule="auto"/>
        <w:ind w:firstLine="648"/>
        <w:rPr>
          <w:rFonts w:ascii="仿宋_GB2312" w:eastAsia="仿宋_GB2312"/>
          <w:b/>
          <w:sz w:val="32"/>
          <w:szCs w:val="32"/>
        </w:rPr>
      </w:pPr>
    </w:p>
    <w:p>
      <w:pPr>
        <w:spacing w:line="360" w:lineRule="auto"/>
        <w:jc w:val="center"/>
        <w:rPr>
          <w:rFonts w:ascii="仿宋_GB2312" w:eastAsia="仿宋_GB2312"/>
          <w:sz w:val="28"/>
          <w:szCs w:val="28"/>
        </w:rPr>
      </w:pPr>
      <w:r>
        <w:rPr>
          <w:rFonts w:ascii="仿宋_GB2312" w:eastAsia="仿宋_GB2312"/>
          <w:sz w:val="28"/>
          <w:szCs w:val="28"/>
        </w:rPr>
        <w:drawing>
          <wp:inline distT="0" distB="0" distL="0" distR="0">
            <wp:extent cx="5242560" cy="39268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2" cstate="print"/>
                    <a:srcRect/>
                    <a:stretch>
                      <a:fillRect/>
                    </a:stretch>
                  </pic:blipFill>
                  <pic:spPr>
                    <a:xfrm>
                      <a:off x="0" y="0"/>
                      <a:ext cx="5291416" cy="3963785"/>
                    </a:xfrm>
                    <a:prstGeom prst="rect">
                      <a:avLst/>
                    </a:prstGeom>
                    <a:noFill/>
                    <a:ln w="9525">
                      <a:noFill/>
                      <a:miter lim="800000"/>
                      <a:headEnd/>
                      <a:tailEnd/>
                    </a:ln>
                  </pic:spPr>
                </pic:pic>
              </a:graphicData>
            </a:graphic>
          </wp:inline>
        </w:drawing>
      </w:r>
    </w:p>
    <w:p>
      <w:pPr>
        <w:spacing w:line="360" w:lineRule="auto"/>
        <w:ind w:firstLine="560" w:firstLineChars="200"/>
        <w:jc w:val="center"/>
        <w:rPr>
          <w:rFonts w:ascii="黑体" w:hAnsi="黑体" w:eastAsia="黑体"/>
          <w:sz w:val="28"/>
          <w:szCs w:val="28"/>
        </w:rPr>
      </w:pPr>
      <w:r>
        <w:rPr>
          <w:rFonts w:hint="eastAsia" w:ascii="黑体" w:hAnsi="黑体" w:eastAsia="黑体"/>
          <w:sz w:val="28"/>
          <w:szCs w:val="28"/>
        </w:rPr>
        <w:t>图2-1 庞各庄“十三五”产业空间布局</w:t>
      </w:r>
    </w:p>
    <w:p>
      <w:pPr>
        <w:spacing w:line="360" w:lineRule="auto"/>
        <w:ind w:firstLine="643" w:firstLineChars="200"/>
        <w:rPr>
          <w:rFonts w:ascii="仿宋_GB2312" w:eastAsia="仿宋_GB2312"/>
          <w:b/>
          <w:sz w:val="32"/>
          <w:szCs w:val="32"/>
        </w:rPr>
      </w:pPr>
    </w:p>
    <w:p>
      <w:pPr>
        <w:pStyle w:val="3"/>
      </w:pPr>
      <w:bookmarkStart w:id="33" w:name="_Toc444603339"/>
      <w:bookmarkStart w:id="34" w:name="_Toc460947517"/>
      <w:r>
        <w:rPr>
          <w:rFonts w:hint="eastAsia"/>
        </w:rPr>
        <w:t>（二）构建新型现代产业体系</w:t>
      </w:r>
      <w:bookmarkEnd w:id="33"/>
      <w:bookmarkEnd w:id="34"/>
    </w:p>
    <w:p>
      <w:pPr>
        <w:pStyle w:val="21"/>
        <w:spacing w:before="156" w:beforeLines="50" w:after="156" w:afterLines="50"/>
        <w:ind w:firstLine="640"/>
        <w:outlineLvl w:val="2"/>
        <w:rPr>
          <w:rFonts w:ascii="仿宋_GB2312" w:hAnsi="仿宋" w:eastAsia="仿宋_GB2312"/>
          <w:b/>
          <w:sz w:val="32"/>
          <w:szCs w:val="32"/>
        </w:rPr>
      </w:pPr>
      <w:bookmarkStart w:id="35" w:name="_Toc441572544"/>
      <w:bookmarkStart w:id="36" w:name="_Toc438675092"/>
      <w:r>
        <w:rPr>
          <w:rFonts w:hint="eastAsia" w:ascii="仿宋_GB2312" w:hAnsi="仿宋" w:eastAsia="仿宋_GB2312"/>
          <w:b/>
          <w:sz w:val="32"/>
          <w:szCs w:val="32"/>
        </w:rPr>
        <w:t>1、做强都市型现代农业</w:t>
      </w:r>
      <w:bookmarkEnd w:id="35"/>
      <w:bookmarkEnd w:id="36"/>
    </w:p>
    <w:p>
      <w:pPr>
        <w:rPr>
          <w:rFonts w:ascii="仿宋_GB2312" w:hAnsi="宋体" w:eastAsia="仿宋_GB2312" w:cs="宋体"/>
          <w:color w:val="000000"/>
          <w:kern w:val="0"/>
          <w:sz w:val="32"/>
          <w:szCs w:val="32"/>
        </w:rPr>
      </w:pPr>
      <w:bookmarkStart w:id="37" w:name="_Toc441572545"/>
      <w:r>
        <w:rPr>
          <w:rFonts w:ascii="仿宋_GB2312" w:hAnsi="华文仿宋" w:eastAsia="仿宋_GB2312" w:cs="黑体"/>
          <w:b/>
          <w:sz w:val="32"/>
          <w:szCs w:val="32"/>
        </w:rPr>
        <w:t xml:space="preserve">    </w:t>
      </w:r>
      <w:r>
        <w:rPr>
          <w:rFonts w:hint="eastAsia" w:ascii="仿宋_GB2312" w:hAnsi="华文仿宋" w:eastAsia="仿宋_GB2312" w:cs="黑体"/>
          <w:b/>
          <w:sz w:val="32"/>
          <w:szCs w:val="32"/>
        </w:rPr>
        <w:t>优先发展特色农业</w:t>
      </w:r>
      <w:bookmarkEnd w:id="37"/>
      <w:r>
        <w:rPr>
          <w:rFonts w:hint="eastAsia" w:ascii="仿宋_GB2312" w:hAnsi="华文仿宋" w:eastAsia="仿宋_GB2312" w:cs="黑体"/>
          <w:b/>
          <w:sz w:val="32"/>
          <w:szCs w:val="32"/>
        </w:rPr>
        <w:t>。</w:t>
      </w:r>
      <w:r>
        <w:rPr>
          <w:rFonts w:hint="eastAsia" w:ascii="仿宋_GB2312" w:hAnsi="宋体" w:eastAsia="仿宋_GB2312" w:cs="宋体"/>
          <w:color w:val="000000"/>
          <w:kern w:val="0"/>
          <w:sz w:val="32"/>
          <w:szCs w:val="32"/>
        </w:rPr>
        <w:t>依托“庞各庄西瓜、金把黄鸭梨、五彩甘薯”以及北京乐平御瓜园等特色农业品牌，</w:t>
      </w:r>
      <w:r>
        <w:rPr>
          <w:rFonts w:ascii="仿宋_GB2312" w:hAnsi="宋体" w:eastAsia="仿宋_GB2312" w:cs="宋体"/>
          <w:color w:val="000000"/>
          <w:kern w:val="0"/>
          <w:sz w:val="32"/>
          <w:szCs w:val="32"/>
        </w:rPr>
        <w:t>继续</w:t>
      </w:r>
      <w:r>
        <w:rPr>
          <w:rFonts w:hint="eastAsia" w:ascii="仿宋_GB2312" w:hAnsi="宋体" w:eastAsia="仿宋_GB2312" w:cs="宋体"/>
          <w:color w:val="000000"/>
          <w:kern w:val="0"/>
          <w:sz w:val="32"/>
          <w:szCs w:val="32"/>
        </w:rPr>
        <w:t>办好“三节一赛”系列会展；建设高标准蝴蝶兰产业示范园，进一步提升火鹤、凤梨等高端特色花卉生产基地和草莓（喀斧农场）、热带水果（富兴农）等特色农产品采摘园，着力提升特色农产品品质。推动科技、人文等元素融入农业，发展农田艺术景观、阳台农艺等创意农业。打造以大型农业观光园、果园观光与休闲、农业特产节庆为重点的临空景观农业，建设集生产、生活、生态功能于一体的都市型特色农业示范区。</w:t>
      </w:r>
    </w:p>
    <w:p>
      <w:pPr>
        <w:ind w:firstLine="643" w:firstLineChars="200"/>
        <w:rPr>
          <w:rFonts w:ascii="仿宋_GB2312" w:hAnsi="宋体" w:eastAsia="仿宋_GB2312" w:cs="宋体"/>
          <w:color w:val="000000"/>
          <w:kern w:val="0"/>
          <w:sz w:val="32"/>
          <w:szCs w:val="32"/>
        </w:rPr>
      </w:pPr>
      <w:bookmarkStart w:id="38" w:name="_Toc438675094"/>
      <w:bookmarkStart w:id="39" w:name="_Toc441572546"/>
      <w:r>
        <w:rPr>
          <w:rFonts w:hint="eastAsia" w:ascii="仿宋_GB2312" w:hAnsi="华文仿宋" w:eastAsia="仿宋_GB2312" w:cs="黑体"/>
          <w:b/>
          <w:sz w:val="32"/>
          <w:szCs w:val="32"/>
        </w:rPr>
        <w:t>重点发展生态农业</w:t>
      </w:r>
      <w:bookmarkEnd w:id="38"/>
      <w:bookmarkEnd w:id="39"/>
      <w:r>
        <w:rPr>
          <w:rFonts w:hint="eastAsia" w:ascii="仿宋_GB2312" w:hAnsi="华文仿宋" w:eastAsia="仿宋_GB2312" w:cs="黑体"/>
          <w:b/>
          <w:sz w:val="32"/>
          <w:szCs w:val="32"/>
        </w:rPr>
        <w:t>。</w:t>
      </w:r>
      <w:r>
        <w:rPr>
          <w:rFonts w:hint="eastAsia" w:ascii="仿宋_GB2312" w:hAnsi="宋体" w:eastAsia="仿宋_GB2312" w:cs="宋体"/>
          <w:color w:val="000000"/>
          <w:kern w:val="0"/>
          <w:sz w:val="32"/>
          <w:szCs w:val="32"/>
        </w:rPr>
        <w:t>继续实施“平原造林”工程，围绕永定河绿色生态发展带，着力改善农村生态环境和农田环境，加快发展有机农业、绿色农业、生态农业，提升农业生产环境质量和农产品质量。发展循环农业，实施田园清洁与循环利用及节水试点工程。发展安全农业，加大无公害农产品、绿色食品、有机食品基地建设力度，积极推进“三品一标”认证工作。重点围绕东赵路现代农业设施产业带和庞安路西瓜产业带，引进农业产业项目。</w:t>
      </w:r>
    </w:p>
    <w:p>
      <w:pPr>
        <w:rPr>
          <w:rFonts w:ascii="仿宋_GB2312" w:hAnsi="宋体" w:eastAsia="仿宋_GB2312" w:cs="宋体"/>
          <w:color w:val="000000"/>
          <w:kern w:val="0"/>
          <w:sz w:val="32"/>
          <w:szCs w:val="32"/>
        </w:rPr>
      </w:pPr>
      <w:bookmarkStart w:id="40" w:name="_Toc438675095"/>
      <w:bookmarkStart w:id="41" w:name="_Toc441572547"/>
      <w:r>
        <w:rPr>
          <w:rFonts w:ascii="仿宋_GB2312" w:hAnsi="华文仿宋" w:eastAsia="仿宋_GB2312" w:cs="黑体"/>
          <w:b/>
          <w:sz w:val="32"/>
          <w:szCs w:val="32"/>
        </w:rPr>
        <w:t xml:space="preserve">    大力发展科技农业</w:t>
      </w:r>
      <w:bookmarkEnd w:id="40"/>
      <w:bookmarkEnd w:id="41"/>
      <w:r>
        <w:rPr>
          <w:rFonts w:hint="eastAsia" w:ascii="仿宋_GB2312" w:hAnsi="华文仿宋" w:eastAsia="仿宋_GB2312" w:cs="黑体"/>
          <w:b/>
          <w:sz w:val="32"/>
          <w:szCs w:val="32"/>
        </w:rPr>
        <w:t>。</w:t>
      </w:r>
      <w:r>
        <w:rPr>
          <w:rFonts w:hint="eastAsia" w:ascii="仿宋_GB2312" w:hAnsi="宋体" w:eastAsia="仿宋_GB2312" w:cs="宋体"/>
          <w:color w:val="000000"/>
          <w:kern w:val="0"/>
          <w:sz w:val="32"/>
          <w:szCs w:val="32"/>
        </w:rPr>
        <w:t>继续推进花卉、果树、瓜菜品种改良与提升合作项目</w:t>
      </w:r>
      <w:r>
        <w:rPr>
          <w:rFonts w:hint="eastAsia" w:ascii="仿宋_GB2312" w:hAnsi="华文仿宋" w:eastAsia="仿宋_GB2312" w:cs="宋体"/>
          <w:color w:val="000000"/>
          <w:kern w:val="0"/>
          <w:sz w:val="32"/>
          <w:szCs w:val="32"/>
        </w:rPr>
        <w:t>。</w:t>
      </w:r>
      <w:r>
        <w:rPr>
          <w:rFonts w:hint="eastAsia" w:ascii="仿宋_GB2312" w:hAnsi="宋体" w:eastAsia="仿宋_GB2312" w:cs="宋体"/>
          <w:color w:val="000000"/>
          <w:kern w:val="0"/>
          <w:sz w:val="32"/>
          <w:szCs w:val="32"/>
        </w:rPr>
        <w:t>推广无损西瓜测试、果树矮化高效密植等科技含量高的实用技术。引进农产品新品种，加强新品种新技术的试验、示范、推广，增强农业科技生产能力。大力发展工厂化、立体化等高科技农业，提高本地鲜活农产品供应保障能力。高标准建设新西兰高科技农业示范园项目连栋温室、中国西瓜文化创意博览园项目钢架大棚、高效密植梨基地和老宋瓜园物联网应用试点。推广秋番茄新集成技术，引进甘薯新品种，形成农业发展新亮点。</w:t>
      </w:r>
      <w:bookmarkStart w:id="42" w:name="_Toc441572548"/>
      <w:r>
        <w:rPr>
          <w:rFonts w:ascii="仿宋_GB2312" w:hAnsi="华文仿宋" w:eastAsia="仿宋_GB2312" w:cs="黑体"/>
          <w:b/>
          <w:sz w:val="32"/>
          <w:szCs w:val="32"/>
        </w:rPr>
        <w:t xml:space="preserve"> </w:t>
      </w:r>
      <w:bookmarkEnd w:id="42"/>
    </w:p>
    <w:p>
      <w:pPr>
        <w:pStyle w:val="21"/>
        <w:spacing w:before="156" w:beforeLines="50" w:after="156" w:afterLines="50"/>
        <w:ind w:firstLine="640"/>
        <w:outlineLvl w:val="2"/>
        <w:rPr>
          <w:rFonts w:ascii="仿宋_GB2312" w:hAnsi="仿宋" w:eastAsia="仿宋_GB2312"/>
          <w:b/>
          <w:sz w:val="32"/>
          <w:szCs w:val="32"/>
        </w:rPr>
      </w:pPr>
      <w:bookmarkStart w:id="43" w:name="_Toc441572550"/>
      <w:bookmarkStart w:id="44" w:name="_Toc438675098"/>
      <w:r>
        <w:rPr>
          <w:rFonts w:ascii="仿宋_GB2312" w:hAnsi="仿宋" w:eastAsia="仿宋_GB2312"/>
          <w:b/>
          <w:sz w:val="32"/>
          <w:szCs w:val="32"/>
        </w:rPr>
        <w:t>2、壮大都市型绿色低碳工业</w:t>
      </w:r>
      <w:bookmarkEnd w:id="43"/>
      <w:bookmarkEnd w:id="44"/>
    </w:p>
    <w:p>
      <w:pPr>
        <w:ind w:firstLine="643" w:firstLineChars="200"/>
        <w:rPr>
          <w:rFonts w:ascii="仿宋_GB2312" w:hAnsi="宋体" w:eastAsia="仿宋_GB2312" w:cs="宋体"/>
          <w:color w:val="000000"/>
          <w:kern w:val="0"/>
          <w:sz w:val="32"/>
          <w:szCs w:val="32"/>
        </w:rPr>
      </w:pPr>
      <w:bookmarkStart w:id="45" w:name="_Toc441572552"/>
      <w:r>
        <w:rPr>
          <w:rFonts w:hint="eastAsia" w:ascii="仿宋_GB2312" w:hAnsi="宋体" w:eastAsia="仿宋_GB2312" w:cs="宋体"/>
          <w:b/>
          <w:color w:val="000000"/>
          <w:kern w:val="0"/>
          <w:sz w:val="32"/>
          <w:szCs w:val="32"/>
        </w:rPr>
        <w:t>积极培育</w:t>
      </w:r>
      <w:bookmarkEnd w:id="45"/>
      <w:r>
        <w:rPr>
          <w:rFonts w:hint="eastAsia" w:ascii="仿宋_GB2312" w:hAnsi="宋体" w:eastAsia="仿宋_GB2312" w:cs="宋体"/>
          <w:b/>
          <w:color w:val="000000"/>
          <w:kern w:val="0"/>
          <w:sz w:val="32"/>
          <w:szCs w:val="32"/>
        </w:rPr>
        <w:t>特色有机农产品加工业。</w:t>
      </w:r>
      <w:r>
        <w:rPr>
          <w:rFonts w:hint="eastAsia" w:ascii="仿宋_GB2312" w:hAnsi="宋体" w:eastAsia="仿宋_GB2312" w:cs="宋体"/>
          <w:color w:val="000000"/>
          <w:kern w:val="0"/>
          <w:sz w:val="32"/>
          <w:szCs w:val="32"/>
        </w:rPr>
        <w:t>充分依托现有的甘薯、玉米、花生、西瓜、梨、草莓、西红柿等特色农产品资源和食品加工的产业基础，重点发展特色有机农产品深加工，延长产业生态链，增加农产品附加值。开发培育为航空配餐服务的航空食品深加工产业，引导乐平等农业龙头企业和美丹等食品加工企业，培育航空食品加工、配送能力，贮备资源、开拓渠道，为航空食品产业的拓展奠定基础。</w:t>
      </w:r>
      <w:bookmarkStart w:id="46" w:name="_Toc438675099"/>
      <w:bookmarkStart w:id="47" w:name="_Toc441572553"/>
    </w:p>
    <w:p>
      <w:pPr>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着力打造工业设计</w:t>
      </w:r>
      <w:bookmarkEnd w:id="46"/>
      <w:r>
        <w:rPr>
          <w:rFonts w:hint="eastAsia" w:ascii="仿宋_GB2312" w:hAnsi="宋体" w:eastAsia="仿宋_GB2312" w:cs="宋体"/>
          <w:b/>
          <w:color w:val="000000"/>
          <w:kern w:val="0"/>
          <w:sz w:val="32"/>
          <w:szCs w:val="32"/>
        </w:rPr>
        <w:t>总部</w:t>
      </w:r>
      <w:r>
        <w:rPr>
          <w:rFonts w:ascii="仿宋_GB2312" w:hAnsi="宋体" w:eastAsia="仿宋_GB2312" w:cs="宋体"/>
          <w:b/>
          <w:color w:val="000000"/>
          <w:kern w:val="0"/>
          <w:sz w:val="32"/>
          <w:szCs w:val="32"/>
        </w:rPr>
        <w:t>基地</w:t>
      </w:r>
      <w:bookmarkEnd w:id="47"/>
      <w:r>
        <w:rPr>
          <w:rFonts w:hint="eastAsia" w:ascii="仿宋_GB2312" w:hAnsi="宋体" w:eastAsia="仿宋_GB2312" w:cs="宋体"/>
          <w:b/>
          <w:color w:val="000000"/>
          <w:kern w:val="0"/>
          <w:sz w:val="32"/>
          <w:szCs w:val="32"/>
        </w:rPr>
        <w:t>。</w:t>
      </w:r>
      <w:r>
        <w:rPr>
          <w:rFonts w:hint="eastAsia" w:ascii="仿宋_GB2312" w:hAnsi="宋体" w:eastAsia="仿宋_GB2312" w:cs="宋体"/>
          <w:color w:val="000000"/>
          <w:kern w:val="0"/>
          <w:sz w:val="32"/>
          <w:szCs w:val="32"/>
        </w:rPr>
        <w:t>推动商业模式创新和业态创新，促进生产型制造向服务型制造转变，</w:t>
      </w:r>
      <w:r>
        <w:rPr>
          <w:rFonts w:ascii="仿宋_GB2312" w:hAnsi="宋体" w:eastAsia="仿宋_GB2312" w:cs="宋体"/>
          <w:color w:val="000000"/>
          <w:kern w:val="0"/>
          <w:sz w:val="32"/>
          <w:szCs w:val="32"/>
        </w:rPr>
        <w:t>积极</w:t>
      </w:r>
      <w:r>
        <w:rPr>
          <w:rFonts w:hint="eastAsia" w:ascii="仿宋_GB2312" w:hAnsi="宋体" w:eastAsia="仿宋_GB2312" w:cs="宋体"/>
          <w:color w:val="000000"/>
          <w:kern w:val="0"/>
          <w:sz w:val="32"/>
          <w:szCs w:val="32"/>
        </w:rPr>
        <w:t>打造</w:t>
      </w:r>
      <w:r>
        <w:rPr>
          <w:rFonts w:ascii="仿宋_GB2312" w:hAnsi="宋体" w:eastAsia="仿宋_GB2312" w:cs="宋体"/>
          <w:color w:val="000000"/>
          <w:kern w:val="0"/>
          <w:sz w:val="32"/>
          <w:szCs w:val="32"/>
        </w:rPr>
        <w:t>本土总部型</w:t>
      </w:r>
      <w:r>
        <w:rPr>
          <w:rFonts w:hint="eastAsia" w:ascii="仿宋_GB2312" w:hAnsi="宋体" w:eastAsia="仿宋_GB2312" w:cs="宋体"/>
          <w:color w:val="000000"/>
          <w:kern w:val="0"/>
          <w:sz w:val="32"/>
          <w:szCs w:val="32"/>
        </w:rPr>
        <w:t>设计</w:t>
      </w:r>
      <w:r>
        <w:rPr>
          <w:rFonts w:ascii="仿宋_GB2312" w:hAnsi="宋体" w:eastAsia="仿宋_GB2312" w:cs="宋体"/>
          <w:color w:val="000000"/>
          <w:kern w:val="0"/>
          <w:sz w:val="32"/>
          <w:szCs w:val="32"/>
        </w:rPr>
        <w:t>企业。</w:t>
      </w:r>
      <w:r>
        <w:rPr>
          <w:rFonts w:hint="eastAsia" w:ascii="仿宋_GB2312" w:hAnsi="宋体" w:eastAsia="仿宋_GB2312" w:cs="宋体"/>
          <w:color w:val="000000"/>
          <w:kern w:val="0"/>
          <w:sz w:val="32"/>
          <w:szCs w:val="32"/>
        </w:rPr>
        <w:t>以博洛尼都市工业设计园、宗洋制衣集团、美丹食品集团等企业为创新载体，大力培育以家居设计、装备设计、服饰设计、食品设计等为主要内容的都市型工业设计产业，培育</w:t>
      </w:r>
      <w:r>
        <w:rPr>
          <w:rFonts w:ascii="仿宋_GB2312" w:hAnsi="宋体" w:eastAsia="仿宋_GB2312" w:cs="宋体"/>
          <w:color w:val="000000"/>
          <w:kern w:val="0"/>
          <w:sz w:val="32"/>
          <w:szCs w:val="32"/>
        </w:rPr>
        <w:t>若干</w:t>
      </w:r>
      <w:r>
        <w:rPr>
          <w:rFonts w:hint="eastAsia" w:ascii="仿宋_GB2312" w:hAnsi="宋体" w:eastAsia="仿宋_GB2312" w:cs="宋体"/>
          <w:color w:val="000000"/>
          <w:kern w:val="0"/>
          <w:sz w:val="32"/>
          <w:szCs w:val="32"/>
        </w:rPr>
        <w:t>品牌一流、业态先进、带动力强的总部型工业</w:t>
      </w:r>
      <w:r>
        <w:rPr>
          <w:rFonts w:ascii="仿宋_GB2312" w:hAnsi="宋体" w:eastAsia="仿宋_GB2312" w:cs="宋体"/>
          <w:color w:val="000000"/>
          <w:kern w:val="0"/>
          <w:sz w:val="32"/>
          <w:szCs w:val="32"/>
        </w:rPr>
        <w:t>设计</w:t>
      </w:r>
      <w:r>
        <w:rPr>
          <w:rFonts w:hint="eastAsia" w:ascii="仿宋_GB2312" w:hAnsi="宋体" w:eastAsia="仿宋_GB2312" w:cs="宋体"/>
          <w:color w:val="000000"/>
          <w:kern w:val="0"/>
          <w:sz w:val="32"/>
          <w:szCs w:val="32"/>
        </w:rPr>
        <w:t>企业，打造企业总部集群。引导企业依托互联网开展网络协同设计、增值服务创新等，建立全球产业链体系，提高国际化经营能力和服务水平。</w:t>
      </w:r>
    </w:p>
    <w:p>
      <w:pPr>
        <w:ind w:firstLine="643" w:firstLineChars="200"/>
        <w:rPr>
          <w:rFonts w:ascii="仿宋_GB2312" w:hAnsi="宋体" w:eastAsia="仿宋_GB2312" w:cs="宋体"/>
          <w:color w:val="000000"/>
          <w:kern w:val="0"/>
          <w:sz w:val="32"/>
          <w:szCs w:val="32"/>
        </w:rPr>
      </w:pPr>
      <w:bookmarkStart w:id="48" w:name="_Toc441572554"/>
      <w:bookmarkStart w:id="49" w:name="_Toc438675100"/>
      <w:r>
        <w:rPr>
          <w:rFonts w:hint="eastAsia" w:ascii="仿宋_GB2312" w:hAnsi="宋体" w:eastAsia="仿宋_GB2312" w:cs="宋体"/>
          <w:b/>
          <w:color w:val="000000"/>
          <w:kern w:val="0"/>
          <w:sz w:val="32"/>
          <w:szCs w:val="32"/>
        </w:rPr>
        <w:t>重点发展高新技术新兴产业</w:t>
      </w:r>
      <w:bookmarkEnd w:id="48"/>
      <w:bookmarkEnd w:id="49"/>
      <w:r>
        <w:rPr>
          <w:rFonts w:hint="eastAsia" w:ascii="仿宋_GB2312" w:hAnsi="宋体" w:eastAsia="仿宋_GB2312" w:cs="宋体"/>
          <w:b/>
          <w:color w:val="000000"/>
          <w:kern w:val="0"/>
          <w:sz w:val="32"/>
          <w:szCs w:val="32"/>
        </w:rPr>
        <w:t>。</w:t>
      </w:r>
      <w:r>
        <w:rPr>
          <w:rFonts w:hint="eastAsia" w:ascii="仿宋_GB2312" w:hAnsi="宋体" w:eastAsia="仿宋_GB2312" w:cs="宋体"/>
          <w:color w:val="000000"/>
          <w:kern w:val="0"/>
          <w:sz w:val="32"/>
          <w:szCs w:val="32"/>
        </w:rPr>
        <w:t>加快推动新一代信息技术与制造技术融合发展，着力发展智能装备和智能产品，积极争取和重点支持一批带动性强的高新技术项目在庞各庄镇布局实施。推进阀门</w:t>
      </w:r>
      <w:r>
        <w:rPr>
          <w:rFonts w:ascii="仿宋_GB2312" w:hAnsi="宋体" w:eastAsia="仿宋_GB2312" w:cs="宋体"/>
          <w:color w:val="000000"/>
          <w:kern w:val="0"/>
          <w:sz w:val="32"/>
          <w:szCs w:val="32"/>
        </w:rPr>
        <w:t>、汽车、</w:t>
      </w:r>
      <w:r>
        <w:rPr>
          <w:rFonts w:hint="eastAsia" w:ascii="仿宋_GB2312" w:hAnsi="宋体" w:eastAsia="仿宋_GB2312" w:cs="宋体"/>
          <w:color w:val="000000"/>
          <w:kern w:val="0"/>
          <w:sz w:val="32"/>
          <w:szCs w:val="32"/>
        </w:rPr>
        <w:t>服装</w:t>
      </w:r>
      <w:r>
        <w:rPr>
          <w:rFonts w:ascii="仿宋_GB2312" w:hAnsi="宋体" w:eastAsia="仿宋_GB2312" w:cs="宋体"/>
          <w:color w:val="000000"/>
          <w:kern w:val="0"/>
          <w:sz w:val="32"/>
          <w:szCs w:val="32"/>
        </w:rPr>
        <w:t>、食品等行业生产设备的智能化改造，提高精准制造、敏捷制造能力。</w:t>
      </w:r>
      <w:r>
        <w:rPr>
          <w:rFonts w:hint="eastAsia" w:ascii="仿宋_GB2312" w:hAnsi="宋体" w:eastAsia="仿宋_GB2312" w:cs="宋体"/>
          <w:color w:val="000000"/>
          <w:kern w:val="0"/>
          <w:sz w:val="32"/>
          <w:szCs w:val="32"/>
        </w:rPr>
        <w:t>积极培育以新材料、节能环保、生物医药、智能化制造业为主要内容的高新</w:t>
      </w:r>
      <w:r>
        <w:rPr>
          <w:rFonts w:ascii="仿宋_GB2312" w:hAnsi="宋体" w:eastAsia="仿宋_GB2312" w:cs="宋体"/>
          <w:color w:val="000000"/>
          <w:kern w:val="0"/>
          <w:sz w:val="32"/>
          <w:szCs w:val="32"/>
        </w:rPr>
        <w:t>技术</w:t>
      </w:r>
      <w:r>
        <w:rPr>
          <w:rFonts w:hint="eastAsia" w:ascii="仿宋_GB2312" w:hAnsi="宋体" w:eastAsia="仿宋_GB2312" w:cs="宋体"/>
          <w:color w:val="000000"/>
          <w:kern w:val="0"/>
          <w:sz w:val="32"/>
          <w:szCs w:val="32"/>
        </w:rPr>
        <w:t>产业</w:t>
      </w:r>
      <w:r>
        <w:rPr>
          <w:rFonts w:ascii="仿宋_GB2312" w:hAnsi="宋体" w:eastAsia="仿宋_GB2312" w:cs="宋体"/>
          <w:color w:val="000000"/>
          <w:kern w:val="0"/>
          <w:sz w:val="32"/>
          <w:szCs w:val="32"/>
        </w:rPr>
        <w:t>,推进生产过程智能化，培育新型生产方式，全面提升企业研发、生产、管理和服务的智能化水平。促进工业互联网、云计算、大数据在企业研发设计、生产制造、经营管理、销售服务等全流程和全产业链的综合集成应用。</w:t>
      </w:r>
    </w:p>
    <w:p>
      <w:pPr>
        <w:pStyle w:val="21"/>
        <w:spacing w:before="156" w:beforeLines="50" w:after="156" w:afterLines="50"/>
        <w:ind w:firstLine="640"/>
        <w:outlineLvl w:val="2"/>
        <w:rPr>
          <w:rFonts w:ascii="仿宋_GB2312" w:hAnsi="仿宋" w:eastAsia="仿宋_GB2312"/>
          <w:b/>
          <w:sz w:val="32"/>
          <w:szCs w:val="32"/>
        </w:rPr>
      </w:pPr>
      <w:bookmarkStart w:id="50" w:name="_Toc438675102"/>
      <w:bookmarkStart w:id="51" w:name="_Toc441572555"/>
      <w:r>
        <w:rPr>
          <w:rFonts w:ascii="仿宋_GB2312" w:hAnsi="仿宋" w:eastAsia="仿宋_GB2312"/>
          <w:b/>
          <w:sz w:val="32"/>
          <w:szCs w:val="32"/>
        </w:rPr>
        <w:t>3、积极培育临空服务业</w:t>
      </w:r>
      <w:bookmarkEnd w:id="50"/>
      <w:bookmarkEnd w:id="51"/>
    </w:p>
    <w:p>
      <w:pPr>
        <w:ind w:firstLine="643" w:firstLineChars="200"/>
        <w:rPr>
          <w:rFonts w:ascii="仿宋_GB2312" w:hAnsi="宋体" w:eastAsia="仿宋_GB2312" w:cs="宋体"/>
          <w:color w:val="000000"/>
          <w:kern w:val="0"/>
          <w:sz w:val="32"/>
          <w:szCs w:val="32"/>
        </w:rPr>
      </w:pPr>
      <w:bookmarkStart w:id="52" w:name="_Toc438675103"/>
      <w:bookmarkStart w:id="53" w:name="_Toc441572556"/>
      <w:r>
        <w:rPr>
          <w:rFonts w:hint="eastAsia" w:ascii="仿宋_GB2312" w:hAnsi="华文仿宋" w:eastAsia="仿宋_GB2312" w:cs="黑体"/>
          <w:b/>
          <w:sz w:val="32"/>
          <w:szCs w:val="32"/>
        </w:rPr>
        <w:t>发展航空总部服务业</w:t>
      </w:r>
      <w:bookmarkEnd w:id="52"/>
      <w:bookmarkEnd w:id="53"/>
      <w:r>
        <w:rPr>
          <w:rFonts w:hint="eastAsia" w:ascii="仿宋_GB2312" w:hAnsi="华文仿宋" w:eastAsia="仿宋_GB2312" w:cs="黑体"/>
          <w:b/>
          <w:sz w:val="32"/>
          <w:szCs w:val="32"/>
        </w:rPr>
        <w:t>。</w:t>
      </w:r>
      <w:r>
        <w:rPr>
          <w:rFonts w:hint="eastAsia" w:ascii="仿宋_GB2312" w:hAnsi="宋体" w:eastAsia="仿宋_GB2312" w:cs="宋体"/>
          <w:color w:val="000000"/>
          <w:kern w:val="0"/>
          <w:sz w:val="32"/>
          <w:szCs w:val="32"/>
        </w:rPr>
        <w:t>积极联络各大航空公司在庞各庄镇设立总部、办事处及代理机构，建设总部集中办公区。积极推进庞各庄镇东区国际高端商务区等项目建设，重点发展新航城配套及关联产业，鼓励与枢纽运营直接相关的旅客服务业和货运服务业发展。依托北京新机场资源，重点发展包括国际贸易、国际会议会展、培训、国门商务服务等在内的高端商务服务业。依托龙熙温泉度假酒店商务会馆、酒店式公寓和高端写字楼等商务设施，搭建航空相关产业商务平台，拓展航空展示、航空教育培训、航空体验等航空配套服务，发展航空总部经济。</w:t>
      </w:r>
    </w:p>
    <w:p>
      <w:pPr>
        <w:ind w:firstLine="643" w:firstLineChars="200"/>
        <w:rPr>
          <w:rFonts w:ascii="仿宋_GB2312" w:hAnsi="华文仿宋" w:eastAsia="仿宋_GB2312" w:cs="宋体"/>
          <w:color w:val="000000"/>
          <w:kern w:val="0"/>
          <w:sz w:val="32"/>
          <w:szCs w:val="32"/>
        </w:rPr>
      </w:pPr>
      <w:bookmarkStart w:id="54" w:name="_Toc441572557"/>
      <w:r>
        <w:rPr>
          <w:rFonts w:hint="eastAsia" w:ascii="仿宋_GB2312" w:hAnsi="华文仿宋" w:eastAsia="仿宋_GB2312" w:cs="黑体"/>
          <w:b/>
          <w:sz w:val="32"/>
          <w:szCs w:val="32"/>
        </w:rPr>
        <w:t>大力发展商贸服务业</w:t>
      </w:r>
      <w:bookmarkEnd w:id="54"/>
      <w:r>
        <w:rPr>
          <w:rFonts w:hint="eastAsia" w:ascii="仿宋_GB2312" w:hAnsi="华文仿宋" w:eastAsia="仿宋_GB2312" w:cs="黑体"/>
          <w:b/>
          <w:sz w:val="32"/>
          <w:szCs w:val="32"/>
        </w:rPr>
        <w:t>。</w:t>
      </w:r>
      <w:r>
        <w:rPr>
          <w:rFonts w:hint="eastAsia" w:ascii="仿宋_GB2312" w:hAnsi="宋体" w:eastAsia="仿宋_GB2312" w:cs="宋体"/>
          <w:color w:val="000000"/>
          <w:kern w:val="0"/>
          <w:sz w:val="32"/>
          <w:szCs w:val="32"/>
        </w:rPr>
        <w:t>打造临空商业综合体，积极构建为旅客提供集购物、餐饮、娱乐、休闲于一体的临空“</w:t>
      </w:r>
      <w:r>
        <w:rPr>
          <w:rFonts w:ascii="仿宋_GB2312" w:hAnsi="宋体" w:eastAsia="仿宋_GB2312" w:cs="宋体"/>
          <w:color w:val="000000"/>
          <w:kern w:val="0"/>
          <w:sz w:val="32"/>
          <w:szCs w:val="32"/>
        </w:rPr>
        <w:t>2小时服务圈”。</w:t>
      </w:r>
      <w:r>
        <w:rPr>
          <w:rFonts w:hint="eastAsia" w:ascii="仿宋_GB2312" w:hAnsi="华文仿宋" w:eastAsia="仿宋_GB2312" w:cs="宋体"/>
          <w:color w:val="000000"/>
          <w:kern w:val="0"/>
          <w:sz w:val="32"/>
          <w:szCs w:val="32"/>
        </w:rPr>
        <w:t>建设若干大型购物中心、综合商业广场，在镇区打造有特色、有辐射力的“中央商贸区”。积极引导和扶持现有大中型商务酒店上档升级，引进域外特色餐饮，丰富全镇餐饮文化，鼓励有条件的餐饮企业实行连锁经营。积极发展服务北京新机场的航空餐饮配送、临时住宿和出行接送等服务项目。</w:t>
      </w:r>
    </w:p>
    <w:p>
      <w:pPr>
        <w:ind w:firstLine="643" w:firstLineChars="200"/>
        <w:jc w:val="left"/>
        <w:rPr>
          <w:rFonts w:ascii="仿宋_GB2312" w:hAnsi="华文仿宋" w:eastAsia="仿宋_GB2312" w:cs="宋体"/>
          <w:color w:val="000000"/>
          <w:kern w:val="0"/>
          <w:sz w:val="32"/>
          <w:szCs w:val="32"/>
        </w:rPr>
      </w:pPr>
      <w:bookmarkStart w:id="55" w:name="_Toc441572558"/>
      <w:r>
        <w:rPr>
          <w:rFonts w:hint="eastAsia" w:ascii="仿宋_GB2312" w:hAnsi="华文仿宋" w:eastAsia="仿宋_GB2312" w:cs="黑体"/>
          <w:b/>
          <w:sz w:val="32"/>
          <w:szCs w:val="32"/>
        </w:rPr>
        <w:t>积极培育文化旅游业</w:t>
      </w:r>
      <w:bookmarkEnd w:id="55"/>
      <w:r>
        <w:rPr>
          <w:rFonts w:hint="eastAsia" w:ascii="仿宋_GB2312" w:hAnsi="华文仿宋" w:eastAsia="仿宋_GB2312" w:cs="黑体"/>
          <w:b/>
          <w:sz w:val="32"/>
          <w:szCs w:val="32"/>
        </w:rPr>
        <w:t>。</w:t>
      </w:r>
      <w:r>
        <w:rPr>
          <w:rFonts w:hint="eastAsia" w:ascii="仿宋_GB2312" w:hAnsi="华文仿宋" w:eastAsia="仿宋_GB2312"/>
          <w:sz w:val="32"/>
          <w:szCs w:val="32"/>
        </w:rPr>
        <w:t>加快发展智慧旅游。推进景区</w:t>
      </w:r>
      <w:r>
        <w:rPr>
          <w:rFonts w:ascii="仿宋_GB2312" w:hAnsi="华文仿宋" w:eastAsia="仿宋_GB2312"/>
          <w:sz w:val="32"/>
          <w:szCs w:val="32"/>
        </w:rPr>
        <w:t>W</w:t>
      </w:r>
      <w:r>
        <w:rPr>
          <w:rFonts w:hint="eastAsia" w:ascii="仿宋_GB2312" w:hAnsi="华文仿宋" w:eastAsia="仿宋_GB2312"/>
          <w:sz w:val="32"/>
          <w:szCs w:val="32"/>
        </w:rPr>
        <w:t>i</w:t>
      </w:r>
      <w:r>
        <w:rPr>
          <w:rFonts w:ascii="仿宋_GB2312" w:hAnsi="华文仿宋" w:eastAsia="仿宋_GB2312"/>
          <w:sz w:val="32"/>
          <w:szCs w:val="32"/>
        </w:rPr>
        <w:t>F</w:t>
      </w:r>
      <w:r>
        <w:rPr>
          <w:rFonts w:hint="eastAsia" w:ascii="仿宋_GB2312" w:hAnsi="华文仿宋" w:eastAsia="仿宋_GB2312"/>
          <w:sz w:val="32"/>
          <w:szCs w:val="32"/>
        </w:rPr>
        <w:t>i全覆盖，充分发挥云计算、物联网、大数据、移动互联网等新技术在旅游管理、旅游营销、旅游服务和旅游体验中的应用，推进导航、导游、导览、导购等多项智慧旅游项目建设。完善庞各庄镇旅游视频宣传片、宣传网站、露天宣传电子显示屏建设，强化微商平台的运营提升及活动策划。建设完善旅游安全广播系统。</w:t>
      </w:r>
      <w:r>
        <w:rPr>
          <w:rFonts w:hint="eastAsia" w:ascii="仿宋_GB2312" w:hAnsi="华文仿宋" w:eastAsia="仿宋_GB2312" w:cs="宋体"/>
          <w:color w:val="000000"/>
          <w:kern w:val="0"/>
          <w:sz w:val="32"/>
          <w:szCs w:val="32"/>
        </w:rPr>
        <w:t>依托田园风光、乡土文化等资源，大力发展休闲度假、旅游观光、养生养老、农耕体验、乡村手工艺等旅游产业，使之成为繁荣农村、富裕农民的新兴支柱产业。进一步挖掘状元文化等特色</w:t>
      </w:r>
      <w:r>
        <w:rPr>
          <w:rFonts w:ascii="仿宋_GB2312" w:hAnsi="华文仿宋" w:eastAsia="仿宋_GB2312" w:cs="宋体"/>
          <w:color w:val="000000"/>
          <w:kern w:val="0"/>
          <w:sz w:val="32"/>
          <w:szCs w:val="32"/>
        </w:rPr>
        <w:t>文化</w:t>
      </w:r>
      <w:r>
        <w:rPr>
          <w:rFonts w:hint="eastAsia" w:ascii="仿宋_GB2312" w:hAnsi="华文仿宋" w:eastAsia="仿宋_GB2312" w:cs="宋体"/>
          <w:color w:val="000000"/>
          <w:kern w:val="0"/>
          <w:sz w:val="32"/>
          <w:szCs w:val="32"/>
        </w:rPr>
        <w:t>内涵，突出乡村特点，有规划地开发休闲农庄、乡村酒店、特色民宿、自驾露营、户外运动等乡村休闲度假产品。推进工业旅游发展，以博洛尼家居、宗洋制衣、美丹食品等企业为核心，重点发展家居设计、服装设计、食品制作</w:t>
      </w:r>
      <w:r>
        <w:rPr>
          <w:rFonts w:ascii="仿宋_GB2312" w:hAnsi="华文仿宋" w:eastAsia="仿宋_GB2312" w:cs="宋体"/>
          <w:color w:val="000000"/>
          <w:kern w:val="0"/>
          <w:sz w:val="32"/>
          <w:szCs w:val="32"/>
        </w:rPr>
        <w:t>、</w:t>
      </w:r>
      <w:r>
        <w:rPr>
          <w:rFonts w:hint="eastAsia" w:ascii="仿宋_GB2312" w:hAnsi="华文仿宋" w:eastAsia="仿宋_GB2312" w:cs="宋体"/>
          <w:color w:val="000000"/>
          <w:kern w:val="0"/>
          <w:sz w:val="32"/>
          <w:szCs w:val="32"/>
        </w:rPr>
        <w:t>烧锅酒等</w:t>
      </w:r>
      <w:r>
        <w:rPr>
          <w:rFonts w:ascii="仿宋_GB2312" w:hAnsi="华文仿宋" w:eastAsia="仿宋_GB2312" w:cs="宋体"/>
          <w:color w:val="000000"/>
          <w:kern w:val="0"/>
          <w:sz w:val="32"/>
          <w:szCs w:val="32"/>
        </w:rPr>
        <w:t>工业旅游</w:t>
      </w:r>
      <w:r>
        <w:rPr>
          <w:rFonts w:hint="eastAsia" w:ascii="仿宋_GB2312" w:hAnsi="华文仿宋" w:eastAsia="仿宋_GB2312" w:cs="宋体"/>
          <w:color w:val="000000"/>
          <w:kern w:val="0"/>
          <w:sz w:val="32"/>
          <w:szCs w:val="32"/>
        </w:rPr>
        <w:t>项目。高标准规划、建设梨花新型生态社区、中华古梨文化园、</w:t>
      </w:r>
      <w:r>
        <w:rPr>
          <w:rFonts w:hint="eastAsia" w:ascii="仿宋_GB2312" w:hAnsi="宋体" w:eastAsia="仿宋_GB2312" w:cs="宋体"/>
          <w:kern w:val="0"/>
          <w:sz w:val="32"/>
          <w:szCs w:val="32"/>
        </w:rPr>
        <w:t>四季缤纷</w:t>
      </w:r>
      <w:r>
        <w:rPr>
          <w:rFonts w:ascii="仿宋_GB2312" w:hAnsi="宋体" w:eastAsia="仿宋_GB2312" w:cs="宋体"/>
          <w:kern w:val="0"/>
          <w:sz w:val="32"/>
          <w:szCs w:val="32"/>
        </w:rPr>
        <w:t>风情</w:t>
      </w:r>
      <w:r>
        <w:rPr>
          <w:rFonts w:hint="eastAsia" w:ascii="仿宋_GB2312" w:hAnsi="宋体" w:eastAsia="仿宋_GB2312" w:cs="宋体"/>
          <w:kern w:val="0"/>
          <w:sz w:val="32"/>
          <w:szCs w:val="32"/>
        </w:rPr>
        <w:t>体验园、</w:t>
      </w:r>
      <w:r>
        <w:rPr>
          <w:rFonts w:hint="eastAsia" w:ascii="仿宋_GB2312" w:hAnsi="宋体" w:eastAsia="仿宋_GB2312" w:cs="宋体"/>
          <w:color w:val="000000"/>
          <w:kern w:val="0"/>
          <w:sz w:val="32"/>
          <w:szCs w:val="32"/>
        </w:rPr>
        <w:t>薛营村美食街</w:t>
      </w:r>
      <w:r>
        <w:rPr>
          <w:rFonts w:hint="eastAsia" w:ascii="仿宋_GB2312" w:hAnsi="华文仿宋" w:eastAsia="仿宋_GB2312" w:cs="宋体"/>
          <w:color w:val="000000"/>
          <w:kern w:val="0"/>
          <w:sz w:val="32"/>
          <w:szCs w:val="32"/>
        </w:rPr>
        <w:t>，塑造梨花小镇、西瓜小镇等旅游精品项目，整合景点资源，进一步优化、完善、开发精品旅游线路。立足北京新机场培育发展临空经济服务区，积极打造集体育休闲、文化</w:t>
      </w:r>
      <w:r>
        <w:rPr>
          <w:rFonts w:ascii="仿宋_GB2312" w:hAnsi="华文仿宋" w:eastAsia="仿宋_GB2312" w:cs="宋体"/>
          <w:color w:val="000000"/>
          <w:kern w:val="0"/>
          <w:sz w:val="32"/>
          <w:szCs w:val="32"/>
        </w:rPr>
        <w:t>娱乐、</w:t>
      </w:r>
      <w:r>
        <w:rPr>
          <w:rFonts w:hint="eastAsia" w:ascii="仿宋_GB2312" w:hAnsi="华文仿宋" w:eastAsia="仿宋_GB2312" w:cs="宋体"/>
          <w:color w:val="000000"/>
          <w:kern w:val="0"/>
          <w:sz w:val="32"/>
          <w:szCs w:val="32"/>
        </w:rPr>
        <w:t>国际商务为一体的现代商务旅游体系。建设以“民俗文化探寻、农耕文化体验、生态休闲游憩、运动养生度假”为主题内容，具有京郊旅游独特个性的生态休闲文化旅游发展新格局。</w:t>
      </w:r>
    </w:p>
    <w:p>
      <w:pPr>
        <w:ind w:firstLine="643" w:firstLineChars="200"/>
        <w:jc w:val="left"/>
        <w:rPr>
          <w:rFonts w:ascii="仿宋_GB2312" w:hAnsi="华文仿宋" w:eastAsia="仿宋_GB2312" w:cs="宋体"/>
          <w:color w:val="000000"/>
          <w:kern w:val="0"/>
          <w:sz w:val="32"/>
          <w:szCs w:val="32"/>
        </w:rPr>
      </w:pPr>
      <w:r>
        <w:rPr>
          <w:rFonts w:hint="eastAsia" w:ascii="仿宋_GB2312" w:hAnsi="华文仿宋" w:eastAsia="仿宋_GB2312" w:cs="宋体"/>
          <w:b/>
          <w:color w:val="000000"/>
          <w:kern w:val="0"/>
          <w:sz w:val="32"/>
          <w:szCs w:val="32"/>
        </w:rPr>
        <w:t>加快发展生活性服务业。</w:t>
      </w:r>
      <w:r>
        <w:rPr>
          <w:rFonts w:hint="eastAsia" w:ascii="仿宋_GB2312" w:hAnsi="华文仿宋" w:eastAsia="仿宋_GB2312" w:cs="宋体"/>
          <w:color w:val="000000"/>
          <w:kern w:val="0"/>
          <w:sz w:val="32"/>
          <w:szCs w:val="32"/>
        </w:rPr>
        <w:t>增强回迁社区的商业配套功能，加快餐饮、住宿、家政、便民服务、娱乐生活、健康养生等生活性服务业的发展。促进房地产中介、房屋租赁经营、物业管理、搬家保洁、家用车辆保养维修等生活性服务规范化、标准化发展。加快城镇生活性服务网络向农村延伸，在有条件的乡村建立综合性服务网点，提高农村居民生活便利化水平。</w:t>
      </w:r>
    </w:p>
    <w:p>
      <w:pPr>
        <w:pStyle w:val="3"/>
      </w:pPr>
      <w:bookmarkStart w:id="56" w:name="_Toc444603340"/>
      <w:bookmarkStart w:id="57" w:name="_Toc460947518"/>
      <w:bookmarkStart w:id="58" w:name="_Toc444157397"/>
      <w:r>
        <w:rPr>
          <w:rFonts w:hint="eastAsia"/>
        </w:rPr>
        <w:t>（三）加快工业区企业转型升级</w:t>
      </w:r>
      <w:bookmarkEnd w:id="56"/>
      <w:bookmarkEnd w:id="57"/>
      <w:bookmarkEnd w:id="58"/>
    </w:p>
    <w:p>
      <w:pPr>
        <w:ind w:firstLine="640" w:firstLineChars="200"/>
        <w:jc w:val="left"/>
        <w:rPr>
          <w:rFonts w:ascii="仿宋_GB2312" w:hAnsi="华文仿宋" w:eastAsia="仿宋_GB2312" w:cs="宋体"/>
          <w:color w:val="000000"/>
          <w:kern w:val="0"/>
          <w:sz w:val="32"/>
          <w:szCs w:val="32"/>
        </w:rPr>
      </w:pPr>
      <w:r>
        <w:rPr>
          <w:rFonts w:hint="eastAsia" w:ascii="仿宋_GB2312" w:hAnsi="华文仿宋" w:eastAsia="仿宋_GB2312" w:cs="宋体"/>
          <w:color w:val="000000"/>
          <w:kern w:val="0"/>
          <w:sz w:val="32"/>
          <w:szCs w:val="32"/>
        </w:rPr>
        <w:t>推进科宝博洛尼、阀门总厂、和田汽车等龙头企业加快企业功能调整，逐步分离生产环节和技术研发环节，将原有生产环节逐步退出，转型为以科技研发、工业设计和产品展示体验为主的新兴服务业，促进制造业服务化发展，培育新型服务业态，实现企业的转型升级。</w:t>
      </w:r>
    </w:p>
    <w:p>
      <w:pPr>
        <w:ind w:firstLine="640" w:firstLineChars="200"/>
        <w:jc w:val="left"/>
        <w:rPr>
          <w:rFonts w:ascii="仿宋_GB2312" w:hAnsi="华文仿宋" w:eastAsia="仿宋_GB2312" w:cs="宋体"/>
          <w:color w:val="000000"/>
          <w:kern w:val="0"/>
          <w:sz w:val="32"/>
          <w:szCs w:val="32"/>
        </w:rPr>
      </w:pPr>
      <w:r>
        <w:rPr>
          <w:rFonts w:hint="eastAsia" w:ascii="仿宋_GB2312" w:hAnsi="华文仿宋" w:eastAsia="仿宋_GB2312" w:cs="宋体"/>
          <w:color w:val="000000"/>
          <w:kern w:val="0"/>
          <w:sz w:val="32"/>
          <w:szCs w:val="32"/>
        </w:rPr>
        <w:t>引导宗洋、奥太华、美丹等品牌企业</w:t>
      </w:r>
      <w:r>
        <w:rPr>
          <w:rFonts w:ascii="仿宋_GB2312" w:hAnsi="华文仿宋" w:eastAsia="仿宋_GB2312" w:cs="宋体"/>
          <w:color w:val="000000"/>
          <w:kern w:val="0"/>
          <w:sz w:val="32"/>
          <w:szCs w:val="32"/>
        </w:rPr>
        <w:t>，</w:t>
      </w:r>
      <w:r>
        <w:rPr>
          <w:rFonts w:hint="eastAsia" w:ascii="仿宋_GB2312" w:hAnsi="华文仿宋" w:eastAsia="仿宋_GB2312" w:cs="宋体"/>
          <w:color w:val="000000"/>
          <w:kern w:val="0"/>
          <w:sz w:val="32"/>
          <w:szCs w:val="32"/>
        </w:rPr>
        <w:t>鼓励企业由加工生产制造行业向“高、精、尖” 研发设计型企业转型，支持企业创建自主品牌，实现从工业产品加工向研发设计和品牌运营转变。</w:t>
      </w:r>
    </w:p>
    <w:p>
      <w:pPr>
        <w:ind w:firstLine="640" w:firstLineChars="200"/>
        <w:jc w:val="left"/>
        <w:rPr>
          <w:rFonts w:ascii="宋体" w:hAnsi="宋体" w:eastAsia="仿宋" w:cs="宋体"/>
          <w:color w:val="000000"/>
          <w:kern w:val="0"/>
          <w:sz w:val="32"/>
          <w:szCs w:val="32"/>
        </w:rPr>
      </w:pPr>
      <w:r>
        <w:rPr>
          <w:rFonts w:hint="eastAsia" w:ascii="仿宋_GB2312" w:hAnsi="华文仿宋" w:eastAsia="仿宋_GB2312" w:cs="宋体"/>
          <w:color w:val="000000"/>
          <w:kern w:val="0"/>
          <w:sz w:val="32"/>
          <w:szCs w:val="32"/>
        </w:rPr>
        <w:t>以政府回购或现有企业收购等腾退形式，淘汰低端小型生产密集型工业企业，将其重组打造成为具有科技研发、创意设计、技术共享等综合服务的创新创业孵化基地。鼓励转型企业利用现有厂房发展创客空间，加大力度引进金融、财务、法律、技术咨询、信息服务、品牌设计等为创新创业服务的各类中介机构，完善孵化基地的配套服务功能，推进创客经济发展。</w:t>
      </w:r>
    </w:p>
    <w:p>
      <w:pPr>
        <w:pStyle w:val="2"/>
        <w:jc w:val="left"/>
        <w:rPr>
          <w:sz w:val="36"/>
          <w:szCs w:val="36"/>
        </w:rPr>
      </w:pPr>
      <w:bookmarkStart w:id="59" w:name="_Toc444603341"/>
      <w:bookmarkStart w:id="60" w:name="_Toc441572564"/>
      <w:bookmarkStart w:id="61" w:name="_Toc437173103"/>
      <w:bookmarkStart w:id="62" w:name="_Toc460947519"/>
      <w:bookmarkStart w:id="63" w:name="_Toc460576343"/>
      <w:r>
        <w:rPr>
          <w:rFonts w:hint="eastAsia"/>
          <w:sz w:val="36"/>
          <w:szCs w:val="36"/>
        </w:rPr>
        <w:t>三、推进城乡一体发展</w:t>
      </w:r>
      <w:bookmarkEnd w:id="59"/>
      <w:bookmarkEnd w:id="60"/>
      <w:bookmarkEnd w:id="61"/>
      <w:bookmarkEnd w:id="62"/>
      <w:bookmarkEnd w:id="63"/>
    </w:p>
    <w:p>
      <w:pPr>
        <w:pStyle w:val="3"/>
      </w:pPr>
      <w:bookmarkStart w:id="64" w:name="_Toc460576344"/>
      <w:bookmarkStart w:id="65" w:name="_Toc460947520"/>
      <w:bookmarkStart w:id="66" w:name="_Toc441572565"/>
      <w:bookmarkStart w:id="67" w:name="_Toc437173104"/>
      <w:bookmarkStart w:id="68" w:name="_Toc444603342"/>
      <w:r>
        <w:t>（</w:t>
      </w:r>
      <w:r>
        <w:rPr>
          <w:rFonts w:hint="eastAsia"/>
        </w:rPr>
        <w:t>一</w:t>
      </w:r>
      <w:r>
        <w:t>）</w:t>
      </w:r>
      <w:r>
        <w:rPr>
          <w:rFonts w:hint="eastAsia"/>
        </w:rPr>
        <w:t>提升整体城镇化质量</w:t>
      </w:r>
      <w:bookmarkEnd w:id="64"/>
      <w:bookmarkEnd w:id="65"/>
    </w:p>
    <w:p>
      <w:pPr>
        <w:pStyle w:val="21"/>
        <w:spacing w:before="156" w:beforeLines="50" w:after="156" w:afterLines="50"/>
        <w:ind w:firstLine="640"/>
        <w:outlineLvl w:val="2"/>
        <w:rPr>
          <w:rFonts w:ascii="仿宋_GB2312" w:hAnsi="仿宋" w:eastAsia="仿宋_GB2312"/>
          <w:b/>
          <w:sz w:val="32"/>
          <w:szCs w:val="32"/>
        </w:rPr>
      </w:pPr>
      <w:bookmarkStart w:id="69" w:name="_Toc440403500"/>
      <w:r>
        <w:rPr>
          <w:rFonts w:hint="eastAsia" w:ascii="仿宋_GB2312" w:hAnsi="仿宋" w:eastAsia="仿宋_GB2312"/>
          <w:b/>
          <w:sz w:val="32"/>
          <w:szCs w:val="32"/>
        </w:rPr>
        <w:t>1、有序推进城镇化进程</w:t>
      </w:r>
    </w:p>
    <w:p>
      <w:pPr>
        <w:adjustRightInd w:val="0"/>
        <w:ind w:firstLine="643" w:firstLineChars="200"/>
        <w:rPr>
          <w:rFonts w:ascii="仿宋_GB2312" w:hAnsi="华文仿宋" w:eastAsia="仿宋_GB2312" w:cs="宋体"/>
          <w:color w:val="000000"/>
          <w:kern w:val="0"/>
          <w:sz w:val="32"/>
          <w:szCs w:val="32"/>
        </w:rPr>
      </w:pPr>
      <w:r>
        <w:rPr>
          <w:rFonts w:hint="eastAsia" w:ascii="仿宋_GB2312" w:hAnsi="华文仿宋" w:eastAsia="仿宋_GB2312" w:cs="宋体"/>
          <w:b/>
          <w:color w:val="000000"/>
          <w:kern w:val="0"/>
          <w:sz w:val="32"/>
          <w:szCs w:val="32"/>
        </w:rPr>
        <w:t>推进直接城镇化</w:t>
      </w:r>
      <w:bookmarkEnd w:id="69"/>
      <w:r>
        <w:rPr>
          <w:rFonts w:hint="eastAsia" w:ascii="仿宋_GB2312" w:hAnsi="华文仿宋" w:eastAsia="仿宋_GB2312" w:cs="宋体"/>
          <w:color w:val="000000"/>
          <w:kern w:val="0"/>
          <w:sz w:val="32"/>
          <w:szCs w:val="32"/>
        </w:rPr>
        <w:t>。以宋各庄、梁家务等村庄为模板，稳步推进旧村改造和实施迁村并点工程，美化优化回迁小区的环境，保障小区的交通便利、环境宜人、设施齐全、服务到位。着力打造“四心社区”，发挥“三个一”便民服务网点的服务作用，完成社区文化活动中心建设。</w:t>
      </w:r>
      <w:bookmarkStart w:id="70" w:name="_Toc437173106"/>
      <w:bookmarkStart w:id="71" w:name="_Toc440403501"/>
    </w:p>
    <w:p>
      <w:pPr>
        <w:adjustRightInd w:val="0"/>
        <w:ind w:firstLine="643" w:firstLineChars="200"/>
        <w:rPr>
          <w:rFonts w:ascii="仿宋_GB2312" w:hAnsi="华文仿宋" w:eastAsia="仿宋_GB2312" w:cs="宋体"/>
          <w:color w:val="000000"/>
          <w:kern w:val="0"/>
          <w:sz w:val="32"/>
          <w:szCs w:val="32"/>
        </w:rPr>
      </w:pPr>
      <w:r>
        <w:rPr>
          <w:rFonts w:hint="eastAsia" w:ascii="仿宋_GB2312" w:hAnsi="华文仿宋" w:eastAsia="仿宋_GB2312" w:cs="宋体"/>
          <w:b/>
          <w:color w:val="000000"/>
          <w:kern w:val="0"/>
          <w:sz w:val="32"/>
          <w:szCs w:val="32"/>
        </w:rPr>
        <w:t>择优就地城镇化</w:t>
      </w:r>
      <w:bookmarkEnd w:id="70"/>
      <w:bookmarkEnd w:id="71"/>
      <w:r>
        <w:rPr>
          <w:rFonts w:hint="eastAsia" w:ascii="仿宋_GB2312" w:hAnsi="华文仿宋" w:eastAsia="仿宋_GB2312" w:cs="宋体"/>
          <w:color w:val="000000"/>
          <w:kern w:val="0"/>
          <w:sz w:val="32"/>
          <w:szCs w:val="32"/>
        </w:rPr>
        <w:t>。以梨花村、薛营村等村庄为试点，推进农宅新建工程建设和农宅翻建改造工程，建立金融互助社为农民提供农宅改造资金，推进新型生态社区市政基础设施提升改造工程，依托“三位一体”工作机制，构建社区新型服务体系，推进村级文化活动中心建设。</w:t>
      </w:r>
      <w:bookmarkStart w:id="72" w:name="_Toc437173107"/>
      <w:bookmarkStart w:id="73" w:name="_Toc440403502"/>
    </w:p>
    <w:p>
      <w:pPr>
        <w:adjustRightInd w:val="0"/>
        <w:ind w:firstLine="643" w:firstLineChars="200"/>
        <w:rPr>
          <w:rFonts w:ascii="仿宋_GB2312" w:hAnsi="华文仿宋" w:eastAsia="仿宋_GB2312" w:cs="宋体"/>
          <w:color w:val="000000"/>
          <w:kern w:val="0"/>
          <w:sz w:val="32"/>
          <w:szCs w:val="32"/>
        </w:rPr>
      </w:pPr>
      <w:r>
        <w:rPr>
          <w:rFonts w:hint="eastAsia" w:ascii="仿宋_GB2312" w:hAnsi="华文仿宋" w:eastAsia="仿宋_GB2312" w:cs="宋体"/>
          <w:b/>
          <w:color w:val="000000"/>
          <w:kern w:val="0"/>
          <w:sz w:val="32"/>
          <w:szCs w:val="32"/>
        </w:rPr>
        <w:t>整体提升城镇化</w:t>
      </w:r>
      <w:bookmarkEnd w:id="72"/>
      <w:bookmarkEnd w:id="73"/>
      <w:r>
        <w:rPr>
          <w:rFonts w:hint="eastAsia" w:ascii="仿宋_GB2312" w:hAnsi="华文仿宋" w:eastAsia="仿宋_GB2312" w:cs="宋体"/>
          <w:color w:val="000000"/>
          <w:kern w:val="0"/>
          <w:sz w:val="32"/>
          <w:szCs w:val="32"/>
        </w:rPr>
        <w:t>。通过村域规划设计、传统民居改建、基础设施建设、村庄环境提升、清洁能源使用、特色产业发展等方式，形成以点、带面、连线的“大社区”格局，促进全镇东、西部的均衡发展。推进环境提升村创建工作，抓好百家优美特色庭院创建工作，全面提升村镇生态环境品质。发挥“智汇安全”智能信息化的优势，按照“一村一格”原则，建成全覆盖、无死角的安全监管网络，推进全国安全社区创建工作。</w:t>
      </w:r>
    </w:p>
    <w:p>
      <w:pPr>
        <w:pStyle w:val="21"/>
        <w:spacing w:before="156" w:beforeLines="50" w:after="156" w:afterLines="50"/>
        <w:ind w:firstLine="640"/>
        <w:outlineLvl w:val="2"/>
        <w:rPr>
          <w:rFonts w:ascii="仿宋_GB2312" w:hAnsi="仿宋" w:eastAsia="仿宋_GB2312"/>
          <w:b/>
          <w:sz w:val="32"/>
          <w:szCs w:val="32"/>
        </w:rPr>
      </w:pPr>
      <w:r>
        <w:rPr>
          <w:rFonts w:hint="eastAsia" w:ascii="仿宋_GB2312" w:hAnsi="仿宋" w:eastAsia="仿宋_GB2312"/>
          <w:b/>
          <w:sz w:val="32"/>
          <w:szCs w:val="32"/>
        </w:rPr>
        <w:t>2、促进镇村均衡发展</w:t>
      </w:r>
    </w:p>
    <w:p>
      <w:pPr>
        <w:adjustRightInd w:val="0"/>
        <w:ind w:firstLine="640" w:firstLineChars="200"/>
        <w:rPr>
          <w:rFonts w:ascii="仿宋_GB2312" w:hAnsi="黑体" w:eastAsia="仿宋_GB2312" w:cs="Times New Roman"/>
          <w:sz w:val="32"/>
          <w:szCs w:val="32"/>
        </w:rPr>
      </w:pPr>
      <w:r>
        <w:rPr>
          <w:rFonts w:hint="eastAsia" w:ascii="仿宋_GB2312" w:hAnsi="Times New Roman" w:eastAsia="仿宋_GB2312" w:cs="Times New Roman"/>
          <w:sz w:val="32"/>
          <w:szCs w:val="32"/>
        </w:rPr>
        <w:t>加快推进城镇社区服务功能向农村新型社区延伸，合理配置农家乐、餐饮、商店、民俗馆、文化大院、学校、幼儿园、便民超市、卫生室、警务室、文化站、敬老院等综合配套服务设施。以梨花村为示范点，</w:t>
      </w:r>
      <w:r>
        <w:rPr>
          <w:rFonts w:hint="eastAsia" w:ascii="仿宋_GB2312" w:hAnsi="黑体" w:eastAsia="仿宋_GB2312" w:cs="Times New Roman"/>
          <w:sz w:val="32"/>
          <w:szCs w:val="32"/>
        </w:rPr>
        <w:t>扩大生态社区辐射作用，带动西片</w:t>
      </w:r>
      <w:r>
        <w:rPr>
          <w:rFonts w:ascii="仿宋_GB2312" w:hAnsi="黑体" w:eastAsia="仿宋_GB2312" w:cs="Times New Roman"/>
          <w:sz w:val="32"/>
          <w:szCs w:val="32"/>
        </w:rPr>
        <w:t>5</w:t>
      </w:r>
      <w:r>
        <w:rPr>
          <w:rFonts w:hint="eastAsia" w:ascii="仿宋_GB2312" w:hAnsi="黑体" w:eastAsia="仿宋_GB2312" w:cs="Times New Roman"/>
          <w:sz w:val="32"/>
          <w:szCs w:val="32"/>
        </w:rPr>
        <w:t>到</w:t>
      </w:r>
      <w:r>
        <w:rPr>
          <w:rFonts w:ascii="仿宋_GB2312" w:hAnsi="黑体" w:eastAsia="仿宋_GB2312" w:cs="Times New Roman"/>
          <w:sz w:val="32"/>
          <w:szCs w:val="32"/>
        </w:rPr>
        <w:t>10</w:t>
      </w:r>
      <w:r>
        <w:rPr>
          <w:rFonts w:hint="eastAsia" w:ascii="仿宋_GB2312" w:hAnsi="黑体" w:eastAsia="仿宋_GB2312" w:cs="Times New Roman"/>
          <w:sz w:val="32"/>
          <w:szCs w:val="32"/>
        </w:rPr>
        <w:t>个村共同发展，形成以点带面、连线的“大社区”格局，促进全镇东、西部的协调发展。</w:t>
      </w:r>
    </w:p>
    <w:p>
      <w:pPr>
        <w:pStyle w:val="21"/>
        <w:spacing w:before="156" w:beforeLines="50" w:after="156" w:afterLines="50"/>
        <w:ind w:firstLine="640"/>
        <w:outlineLvl w:val="2"/>
        <w:rPr>
          <w:rFonts w:ascii="仿宋_GB2312" w:hAnsi="仿宋" w:eastAsia="仿宋_GB2312"/>
          <w:b/>
          <w:sz w:val="32"/>
          <w:szCs w:val="32"/>
        </w:rPr>
      </w:pPr>
      <w:r>
        <w:rPr>
          <w:rFonts w:hint="eastAsia" w:ascii="仿宋_GB2312" w:hAnsi="仿宋" w:eastAsia="仿宋_GB2312"/>
          <w:b/>
          <w:sz w:val="32"/>
          <w:szCs w:val="32"/>
        </w:rPr>
        <w:t>3、强化城乡公共服务均等发展</w:t>
      </w:r>
    </w:p>
    <w:p>
      <w:pPr>
        <w:ind w:firstLine="640" w:firstLineChars="200"/>
        <w:rPr>
          <w:rFonts w:ascii="仿宋_GB2312" w:eastAsia="仿宋_GB2312"/>
          <w:sz w:val="32"/>
          <w:szCs w:val="32"/>
        </w:rPr>
      </w:pPr>
      <w:r>
        <w:rPr>
          <w:rFonts w:hint="eastAsia" w:ascii="仿宋_GB2312" w:hAnsi="宋体" w:eastAsia="仿宋_GB2312" w:cs="宋体"/>
          <w:color w:val="000000"/>
          <w:kern w:val="0"/>
          <w:sz w:val="32"/>
          <w:szCs w:val="32"/>
        </w:rPr>
        <w:t>继续扩大农村优质教育资源覆盖面，按照以优质带动均衡的思路，提高农村地区教育服务水平，促进城乡教育均衡化发展。实施基层卫生服务能力提升工程，调整完善社区卫生服务机构布局与功能定位，推进优质资源下沉，提升基层服务能力，促进城乡公共卫生服务均等化。探索新农合基层医疗机构首诊和综合支付方式改革试点，新农合参合率达100%，稳步提高保障水平。加强农村地区安全生产、食品安全和重大动物疫病防控工作。</w:t>
      </w:r>
    </w:p>
    <w:p/>
    <w:p>
      <w:pPr>
        <w:pStyle w:val="3"/>
      </w:pPr>
      <w:bookmarkStart w:id="74" w:name="_Toc460947521"/>
      <w:r>
        <w:rPr>
          <w:rFonts w:hint="eastAsia"/>
        </w:rPr>
        <w:t>（</w:t>
      </w:r>
      <w:r>
        <w:t>二</w:t>
      </w:r>
      <w:r>
        <w:rPr>
          <w:rFonts w:hint="eastAsia"/>
        </w:rPr>
        <w:t>）</w:t>
      </w:r>
      <w:bookmarkEnd w:id="66"/>
      <w:bookmarkEnd w:id="67"/>
      <w:bookmarkEnd w:id="68"/>
      <w:r>
        <w:rPr>
          <w:rFonts w:hint="eastAsia"/>
        </w:rPr>
        <w:t>加快建设新型农村社区</w:t>
      </w:r>
      <w:bookmarkEnd w:id="74"/>
    </w:p>
    <w:p>
      <w:pPr>
        <w:pStyle w:val="21"/>
        <w:spacing w:before="156" w:beforeLines="50" w:after="156" w:afterLines="50"/>
        <w:ind w:firstLine="640"/>
        <w:outlineLvl w:val="2"/>
        <w:rPr>
          <w:rFonts w:ascii="仿宋_GB2312" w:hAnsi="仿宋" w:eastAsia="仿宋_GB2312"/>
          <w:b/>
          <w:sz w:val="32"/>
          <w:szCs w:val="32"/>
        </w:rPr>
      </w:pPr>
      <w:r>
        <w:rPr>
          <w:rFonts w:ascii="仿宋_GB2312" w:hAnsi="仿宋" w:eastAsia="仿宋_GB2312"/>
          <w:b/>
          <w:sz w:val="32"/>
          <w:szCs w:val="32"/>
        </w:rPr>
        <w:t>1</w:t>
      </w:r>
      <w:r>
        <w:rPr>
          <w:rFonts w:hint="eastAsia" w:ascii="仿宋_GB2312" w:hAnsi="仿宋" w:eastAsia="仿宋_GB2312"/>
          <w:b/>
          <w:sz w:val="32"/>
          <w:szCs w:val="32"/>
        </w:rPr>
        <w:t>、着力建设“生态社区”</w:t>
      </w:r>
    </w:p>
    <w:p>
      <w:pPr>
        <w:ind w:firstLine="640" w:firstLineChars="200"/>
        <w:rPr>
          <w:rFonts w:ascii="仿宋_GB2312" w:eastAsia="仿宋_GB2312"/>
          <w:sz w:val="32"/>
          <w:szCs w:val="32"/>
        </w:rPr>
      </w:pPr>
      <w:r>
        <w:rPr>
          <w:rFonts w:hint="eastAsia" w:ascii="仿宋_GB2312" w:eastAsia="仿宋_GB2312"/>
          <w:sz w:val="32"/>
          <w:szCs w:val="32"/>
        </w:rPr>
        <w:t>以保安庄、定福庄、留民庄、梨花村、南顿垡、西中堡、东义堂、张公垡、北顿垡、薛营等中心村为重点，充分发挥各村特色资源优势，建设新型生态社区，推进城乡一体化发展，使农村群众享受与城市居民同质生活。推进农宅新建工程建设和农宅翻建改造工程，塑造“一村一貌”的建筑风格。建立金融互助社为农民提供农宅改造资金。推进新型生态社区市政基础设施提升改造工程。通过美化人居环境、加强基础设施、发展生态产业、培育厚德民风，努力建成一批生态社区示范区。</w:t>
      </w:r>
    </w:p>
    <w:p>
      <w:pPr>
        <w:pStyle w:val="21"/>
        <w:spacing w:before="156" w:beforeLines="50" w:after="156" w:afterLines="50"/>
        <w:ind w:firstLine="640"/>
        <w:outlineLvl w:val="2"/>
        <w:rPr>
          <w:rFonts w:ascii="仿宋_GB2312" w:hAnsi="仿宋" w:eastAsia="仿宋_GB2312"/>
          <w:b/>
          <w:sz w:val="32"/>
          <w:szCs w:val="32"/>
        </w:rPr>
      </w:pPr>
      <w:r>
        <w:rPr>
          <w:rFonts w:hint="eastAsia" w:ascii="仿宋_GB2312" w:hAnsi="仿宋" w:eastAsia="仿宋_GB2312"/>
          <w:b/>
          <w:sz w:val="32"/>
          <w:szCs w:val="32"/>
        </w:rPr>
        <w:t>2、提升农村社区治理水平</w:t>
      </w:r>
    </w:p>
    <w:p>
      <w:pPr>
        <w:ind w:firstLine="640" w:firstLineChars="200"/>
        <w:rPr>
          <w:rFonts w:ascii="仿宋_GB2312" w:eastAsia="仿宋_GB2312"/>
          <w:sz w:val="32"/>
          <w:szCs w:val="32"/>
        </w:rPr>
      </w:pPr>
      <w:r>
        <w:rPr>
          <w:rFonts w:hint="eastAsia" w:ascii="仿宋_GB2312" w:eastAsia="仿宋_GB2312"/>
          <w:sz w:val="32"/>
          <w:szCs w:val="32"/>
        </w:rPr>
        <w:t>推动城镇基础设施向农村倾斜、公共服务向农村覆盖、城市文明向农村延伸、生产要素向农村流动，全面提升农村公共服务水平。</w:t>
      </w:r>
      <w:r>
        <w:rPr>
          <w:rFonts w:hint="eastAsia" w:ascii="仿宋_GB2312" w:hAnsi="黑体" w:eastAsia="仿宋_GB2312"/>
          <w:sz w:val="32"/>
          <w:szCs w:val="32"/>
        </w:rPr>
        <w:t>依托“三位一体”工作机制，充分发挥社区党总支、社区居委会和</w:t>
      </w:r>
      <w:r>
        <w:rPr>
          <w:rFonts w:hint="eastAsia" w:ascii="仿宋_GB2312" w:eastAsia="仿宋_GB2312"/>
          <w:sz w:val="32"/>
          <w:szCs w:val="32"/>
        </w:rPr>
        <w:t>社区服务站等机构的作用，</w:t>
      </w:r>
      <w:r>
        <w:rPr>
          <w:rFonts w:hint="eastAsia" w:ascii="仿宋_GB2312" w:hAnsi="黑体" w:eastAsia="仿宋_GB2312"/>
          <w:sz w:val="32"/>
          <w:szCs w:val="32"/>
        </w:rPr>
        <w:t>构建社区新型服务体系。</w:t>
      </w:r>
      <w:r>
        <w:rPr>
          <w:rFonts w:hint="eastAsia" w:ascii="仿宋_GB2312" w:eastAsia="仿宋_GB2312"/>
          <w:sz w:val="32"/>
          <w:szCs w:val="32"/>
        </w:rPr>
        <w:t>创新农村社区管理方式，建立健全社区公共服务中心，创新村级集体经济发展方式，大力发展集体物业经济，健全基层矛盾排查化解机制，畅通群众利益诉求表达渠道，加快创新农村社区治理机制。</w:t>
      </w:r>
    </w:p>
    <w:p>
      <w:pPr>
        <w:pStyle w:val="21"/>
        <w:spacing w:before="156" w:beforeLines="50" w:after="156" w:afterLines="50"/>
        <w:ind w:firstLine="640"/>
        <w:outlineLvl w:val="2"/>
        <w:rPr>
          <w:rFonts w:ascii="仿宋_GB2312" w:hAnsi="仿宋" w:eastAsia="仿宋_GB2312"/>
          <w:b/>
          <w:sz w:val="32"/>
          <w:szCs w:val="32"/>
        </w:rPr>
      </w:pPr>
      <w:r>
        <w:rPr>
          <w:rFonts w:ascii="仿宋_GB2312" w:hAnsi="仿宋" w:eastAsia="仿宋_GB2312"/>
          <w:b/>
          <w:sz w:val="32"/>
          <w:szCs w:val="32"/>
        </w:rPr>
        <w:t>3</w:t>
      </w:r>
      <w:r>
        <w:rPr>
          <w:rFonts w:hint="eastAsia" w:ascii="仿宋_GB2312" w:hAnsi="仿宋" w:eastAsia="仿宋_GB2312"/>
          <w:b/>
          <w:sz w:val="32"/>
          <w:szCs w:val="32"/>
        </w:rPr>
        <w:t>、推进新型农村社区建设</w:t>
      </w:r>
    </w:p>
    <w:p>
      <w:pPr>
        <w:spacing w:line="360" w:lineRule="auto"/>
        <w:ind w:firstLine="660"/>
        <w:rPr>
          <w:rFonts w:ascii="仿宋_GB2312" w:eastAsia="仿宋_GB2312"/>
          <w:sz w:val="32"/>
          <w:szCs w:val="32"/>
        </w:rPr>
      </w:pPr>
      <w:r>
        <w:rPr>
          <w:rFonts w:hint="eastAsia" w:ascii="仿宋_GB2312" w:eastAsia="仿宋_GB2312"/>
          <w:sz w:val="32"/>
          <w:szCs w:val="32"/>
        </w:rPr>
        <w:t>壮大村级集体经济，完善提升“互联网+农业”、“景区+农庄”、“生态+文化”、“观光+度假”和三次产业融合的农村经济发展模式，促进农村生产发展和农民生活宽裕，逐步实现农村基础设施城镇化、生活服务社区化、生活方式市民化。</w:t>
      </w:r>
    </w:p>
    <w:p>
      <w:pPr>
        <w:pStyle w:val="3"/>
      </w:pPr>
      <w:bookmarkStart w:id="75" w:name="_Toc460947522"/>
      <w:bookmarkStart w:id="76" w:name="_Toc444603343"/>
      <w:r>
        <w:rPr>
          <w:rFonts w:hint="eastAsia"/>
        </w:rPr>
        <w:t>（</w:t>
      </w:r>
      <w:r>
        <w:t>三</w:t>
      </w:r>
      <w:r>
        <w:rPr>
          <w:rFonts w:hint="eastAsia"/>
        </w:rPr>
        <w:t>）推进美丽乡村建设</w:t>
      </w:r>
      <w:bookmarkEnd w:id="75"/>
      <w:bookmarkEnd w:id="76"/>
    </w:p>
    <w:p>
      <w:pPr>
        <w:pStyle w:val="21"/>
        <w:spacing w:before="156" w:beforeLines="50" w:after="156" w:afterLines="50"/>
        <w:ind w:firstLine="640"/>
        <w:outlineLvl w:val="2"/>
        <w:rPr>
          <w:rFonts w:ascii="仿宋_GB2312" w:hAnsi="仿宋" w:eastAsia="仿宋_GB2312"/>
          <w:b/>
          <w:sz w:val="32"/>
          <w:szCs w:val="32"/>
        </w:rPr>
      </w:pPr>
      <w:r>
        <w:rPr>
          <w:rFonts w:hint="eastAsia" w:ascii="仿宋_GB2312" w:hAnsi="仿宋" w:eastAsia="仿宋_GB2312"/>
          <w:b/>
          <w:sz w:val="32"/>
          <w:szCs w:val="32"/>
        </w:rPr>
        <w:t>1、完善农村基础设施建设</w:t>
      </w:r>
    </w:p>
    <w:p>
      <w:pPr>
        <w:rPr>
          <w:rFonts w:ascii="仿宋_GB2312" w:eastAsia="仿宋_GB2312"/>
          <w:sz w:val="32"/>
          <w:szCs w:val="32"/>
        </w:rPr>
      </w:pPr>
      <w:r>
        <w:rPr>
          <w:rFonts w:hint="eastAsia" w:ascii="仿宋_GB2312" w:eastAsia="仿宋_GB2312"/>
          <w:sz w:val="32"/>
          <w:szCs w:val="32"/>
        </w:rPr>
        <w:t xml:space="preserve">    围绕“一核、两廊、两区、多点”的空间布局,不断加大路网、管线、供水、排水、绿化等基础设施建设，初步形成设施完备、功能合理、环境优美、居住舒适的新农村建设标准。</w:t>
      </w:r>
      <w:r>
        <w:rPr>
          <w:rFonts w:hint="eastAsia" w:ascii="仿宋_GB2312" w:hAnsi="仿宋" w:eastAsia="仿宋_GB2312"/>
          <w:sz w:val="32"/>
          <w:szCs w:val="32"/>
          <w:lang w:val="zh-CN"/>
        </w:rPr>
        <w:t>以农宅翻建、道路改造、市政设施翻新、清洁能源设施建设为重点，完善农村设施基础设施和公共服务设施。重点推进东南次村、西南次村、鲍家铺村、孙场村、加禄垡村、东黑垡村、张新庄村、王场村等9个村的办公场所、多功能厅及文化广场建设。</w:t>
      </w:r>
      <w:r>
        <w:rPr>
          <w:rFonts w:hint="eastAsia" w:ascii="仿宋_GB2312" w:eastAsia="仿宋_GB2312"/>
          <w:sz w:val="32"/>
          <w:szCs w:val="32"/>
        </w:rPr>
        <w:t>完善农村污水及垃圾处理等设施建设，</w:t>
      </w:r>
      <w:r>
        <w:rPr>
          <w:rFonts w:hint="eastAsia" w:ascii="仿宋_GB2312" w:hAnsi="仿宋" w:eastAsia="仿宋_GB2312"/>
          <w:sz w:val="32"/>
          <w:szCs w:val="32"/>
          <w:lang w:val="zh-CN"/>
        </w:rPr>
        <w:t>加快开展农村的改水、改厨、改厕、改圈工作，建立垃圾收集、污水处理等环保设施</w:t>
      </w:r>
      <w:r>
        <w:rPr>
          <w:rFonts w:hint="eastAsia" w:ascii="仿宋_GB2312" w:eastAsia="仿宋_GB2312"/>
          <w:sz w:val="32"/>
          <w:szCs w:val="32"/>
        </w:rPr>
        <w:t>。改造升级农村的通讯、网络、广播电视等设施，全面改善农村生产生活条件。优化农村用能结构,推进“减煤换煤、清洁空气”行动计划，鼓励引导农业生产设施、公共设施、农村企事业单位使用电、气、太阳能、地热等清洁能源，构建高效、低碳的能源结构。</w:t>
      </w:r>
    </w:p>
    <w:p>
      <w:pPr>
        <w:pStyle w:val="21"/>
        <w:spacing w:before="156" w:beforeLines="50" w:after="156" w:afterLines="50"/>
        <w:ind w:firstLine="640"/>
        <w:outlineLvl w:val="2"/>
        <w:rPr>
          <w:rFonts w:ascii="仿宋_GB2312" w:hAnsi="仿宋" w:eastAsia="仿宋_GB2312"/>
          <w:b/>
          <w:sz w:val="32"/>
          <w:szCs w:val="32"/>
        </w:rPr>
      </w:pPr>
      <w:r>
        <w:rPr>
          <w:rFonts w:ascii="仿宋_GB2312" w:hAnsi="仿宋" w:eastAsia="仿宋_GB2312"/>
          <w:b/>
          <w:sz w:val="32"/>
          <w:szCs w:val="32"/>
        </w:rPr>
        <w:t>2、</w:t>
      </w:r>
      <w:r>
        <w:rPr>
          <w:rFonts w:hint="eastAsia" w:ascii="仿宋_GB2312" w:hAnsi="仿宋" w:eastAsia="仿宋_GB2312"/>
          <w:b/>
          <w:sz w:val="32"/>
          <w:szCs w:val="32"/>
        </w:rPr>
        <w:t>加强村庄环境景观整治</w:t>
      </w:r>
    </w:p>
    <w:p>
      <w:pPr>
        <w:rPr>
          <w:rFonts w:ascii="仿宋_GB2312" w:hAnsi="宋体" w:eastAsia="仿宋_GB2312" w:cs="宋体"/>
          <w:kern w:val="0"/>
          <w:sz w:val="32"/>
          <w:szCs w:val="32"/>
        </w:rPr>
      </w:pPr>
      <w:r>
        <w:rPr>
          <w:rFonts w:hint="eastAsia" w:ascii="仿宋_GB2312" w:eastAsia="仿宋_GB2312"/>
          <w:sz w:val="32"/>
          <w:szCs w:val="32"/>
        </w:rPr>
        <w:t xml:space="preserve">    开展农村生活垃圾专项治理工程建设，实现村庄垃圾处理覆盖率达到90%以上。实施乡村清洁工程，开展村庄整治，推进农村垃圾、污水处理和土壤环境整治，加快农村河道、水环境整治。</w:t>
      </w:r>
      <w:r>
        <w:rPr>
          <w:rFonts w:hint="eastAsia" w:ascii="仿宋_GB2312" w:hAnsi="仿宋" w:eastAsia="仿宋_GB2312"/>
          <w:sz w:val="32"/>
          <w:szCs w:val="32"/>
          <w:lang w:val="zh-CN"/>
        </w:rPr>
        <w:t>开展农村生态景观整治工程，丰富乡村风貌的景观多样性，改善旅游体验。</w:t>
      </w:r>
      <w:r>
        <w:rPr>
          <w:rFonts w:hint="eastAsia" w:ascii="仿宋_GB2312" w:eastAsia="仿宋_GB2312"/>
          <w:sz w:val="32"/>
          <w:szCs w:val="32"/>
        </w:rPr>
        <w:t>加强社区景观整治，</w:t>
      </w:r>
      <w:r>
        <w:rPr>
          <w:rFonts w:hint="eastAsia" w:ascii="仿宋_GB2312" w:hAnsi="仿宋" w:eastAsia="仿宋_GB2312"/>
          <w:sz w:val="32"/>
          <w:szCs w:val="32"/>
          <w:lang w:val="zh-CN"/>
        </w:rPr>
        <w:t>强化村庄规划管理，突出乡村特色、地方特色和民族特色，提升自然景观的美学价值。积极推动优美特色庭院升级，</w:t>
      </w:r>
      <w:r>
        <w:rPr>
          <w:rFonts w:hint="eastAsia" w:ascii="仿宋_GB2312" w:hAnsi="仿宋" w:eastAsia="仿宋_GB2312"/>
          <w:sz w:val="32"/>
          <w:szCs w:val="32"/>
        </w:rPr>
        <w:t>重点围绕常各庄、定福庄、加禄垡等村庄环境提升工程开展梯度培育，充分动员和组织全镇农村妇女和家庭主动参与新农村建设，加强与乡村旅游、家庭旅馆、家庭农场、农家乐等的衔接，强化镇、村、农户三级联动，注重方式创新见到实效。到“十三五”末，完成</w:t>
      </w:r>
      <w:r>
        <w:rPr>
          <w:rFonts w:ascii="仿宋_GB2312" w:hAnsi="仿宋" w:eastAsia="仿宋_GB2312"/>
          <w:sz w:val="32"/>
          <w:szCs w:val="32"/>
        </w:rPr>
        <w:t>20个村环境提升和200个优美庭院创建工作，</w:t>
      </w:r>
      <w:r>
        <w:rPr>
          <w:rFonts w:hint="eastAsia" w:ascii="仿宋_GB2312" w:hAnsi="仿宋" w:eastAsia="仿宋_GB2312"/>
          <w:sz w:val="32"/>
          <w:szCs w:val="32"/>
          <w:lang w:val="zh-CN"/>
        </w:rPr>
        <w:t>增加</w:t>
      </w:r>
      <w:r>
        <w:rPr>
          <w:rFonts w:ascii="仿宋_GB2312" w:hAnsi="仿宋" w:eastAsia="仿宋_GB2312"/>
          <w:sz w:val="32"/>
          <w:szCs w:val="32"/>
          <w:lang w:val="zh-CN"/>
        </w:rPr>
        <w:t>100个以上民俗旅游户，加</w:t>
      </w:r>
      <w:r>
        <w:rPr>
          <w:rFonts w:hint="eastAsia" w:ascii="仿宋_GB2312" w:hAnsi="仿宋" w:eastAsia="仿宋_GB2312"/>
          <w:sz w:val="32"/>
          <w:szCs w:val="32"/>
          <w:lang w:val="zh-CN"/>
        </w:rPr>
        <w:t>强</w:t>
      </w:r>
      <w:r>
        <w:rPr>
          <w:rFonts w:hint="eastAsia" w:ascii="仿宋_GB2312" w:hAnsi="仿宋" w:eastAsia="仿宋_GB2312"/>
          <w:sz w:val="32"/>
          <w:szCs w:val="32"/>
        </w:rPr>
        <w:t>宣传、教育和引导游客文明游览、保护环境，</w:t>
      </w:r>
      <w:r>
        <w:rPr>
          <w:rFonts w:hint="eastAsia" w:ascii="仿宋_GB2312" w:hAnsi="仿宋" w:eastAsia="仿宋_GB2312"/>
          <w:sz w:val="32"/>
          <w:szCs w:val="32"/>
          <w:lang w:val="zh-CN"/>
        </w:rPr>
        <w:t>提升乡村人居环境和居住品质。</w:t>
      </w:r>
    </w:p>
    <w:p>
      <w:pPr>
        <w:pStyle w:val="3"/>
      </w:pPr>
      <w:bookmarkStart w:id="77" w:name="_Toc460947523"/>
      <w:bookmarkStart w:id="78" w:name="_Toc444603344"/>
      <w:r>
        <w:rPr>
          <w:rFonts w:hint="eastAsia"/>
        </w:rPr>
        <w:t>（</w:t>
      </w:r>
      <w:r>
        <w:t>四</w:t>
      </w:r>
      <w:r>
        <w:rPr>
          <w:rFonts w:hint="eastAsia"/>
        </w:rPr>
        <w:t>）完善智慧城乡体系</w:t>
      </w:r>
      <w:bookmarkEnd w:id="77"/>
      <w:bookmarkEnd w:id="78"/>
    </w:p>
    <w:p>
      <w:pPr>
        <w:pStyle w:val="21"/>
        <w:spacing w:before="156" w:beforeLines="50" w:after="156" w:afterLines="50"/>
        <w:ind w:firstLine="640"/>
        <w:outlineLvl w:val="2"/>
        <w:rPr>
          <w:rFonts w:ascii="仿宋_GB2312" w:hAnsi="仿宋" w:eastAsia="仿宋_GB2312"/>
          <w:b/>
          <w:sz w:val="32"/>
          <w:szCs w:val="32"/>
        </w:rPr>
      </w:pPr>
      <w:r>
        <w:rPr>
          <w:rFonts w:hint="eastAsia" w:ascii="仿宋_GB2312" w:hAnsi="仿宋" w:eastAsia="仿宋_GB2312"/>
          <w:b/>
          <w:sz w:val="32"/>
          <w:szCs w:val="32"/>
        </w:rPr>
        <w:t>1、推进智慧城市建设工程</w:t>
      </w:r>
    </w:p>
    <w:p>
      <w:pPr>
        <w:spacing w:line="360" w:lineRule="auto"/>
        <w:rPr>
          <w:rFonts w:ascii="仿宋_GB2312" w:hAnsi="仿宋" w:eastAsia="仿宋_GB2312"/>
          <w:sz w:val="32"/>
          <w:szCs w:val="32"/>
        </w:rPr>
      </w:pPr>
      <w:r>
        <w:rPr>
          <w:rFonts w:hint="eastAsia" w:ascii="仿宋_GB2312" w:eastAsia="仿宋_GB2312"/>
          <w:b/>
          <w:sz w:val="32"/>
          <w:szCs w:val="32"/>
        </w:rPr>
        <w:t xml:space="preserve">    加快智慧城市建设。</w:t>
      </w:r>
      <w:r>
        <w:rPr>
          <w:rFonts w:hint="eastAsia" w:ascii="仿宋_GB2312" w:eastAsia="仿宋_GB2312"/>
          <w:sz w:val="32"/>
          <w:szCs w:val="32"/>
        </w:rPr>
        <w:t>以镇区为重点，</w:t>
      </w:r>
      <w:r>
        <w:rPr>
          <w:rFonts w:hint="eastAsia" w:ascii="仿宋_GB2312" w:hAnsi="仿宋" w:eastAsia="仿宋_GB2312"/>
          <w:sz w:val="32"/>
          <w:szCs w:val="32"/>
        </w:rPr>
        <w:t>围绕城镇智能运转、企业智能运营、生活智能便捷、政府智能服务等方面，全面启动智慧城市建设工程，重点抓好公共信息平台、公共基础数据库、管理指挥中心（呼叫中心、城管指挥中心、运行展示中心）以及智慧市政、智慧社区、五规合一、智慧安全、智慧农业和智慧旅游等项目建设。</w:t>
      </w:r>
      <w:r>
        <w:rPr>
          <w:rFonts w:hint="eastAsia" w:ascii="仿宋_GB2312" w:eastAsia="仿宋_GB2312"/>
          <w:sz w:val="32"/>
          <w:szCs w:val="32"/>
        </w:rPr>
        <w:t>大力发挥大数据在休闲旅游业中的作用，推进旅游人流分析、游客智能服务等。</w:t>
      </w:r>
      <w:r>
        <w:rPr>
          <w:rFonts w:hint="eastAsia" w:ascii="仿宋_GB2312" w:hAnsi="仿宋" w:eastAsia="仿宋_GB2312"/>
          <w:sz w:val="32"/>
          <w:szCs w:val="32"/>
        </w:rPr>
        <w:t>积极推进信息网络的综合化、宽带化、物联化、智能化，加快智慧型城市管理、市政监管、绿色建筑领域建设，使智慧城市建设又快又好发展，全面促进庞各庄镇</w:t>
      </w:r>
      <w:r>
        <w:rPr>
          <w:rFonts w:ascii="仿宋_GB2312" w:hAnsi="仿宋" w:eastAsia="仿宋_GB2312"/>
          <w:sz w:val="32"/>
          <w:szCs w:val="32"/>
        </w:rPr>
        <w:t xml:space="preserve"> </w:t>
      </w:r>
      <w:r>
        <w:rPr>
          <w:rFonts w:hint="eastAsia" w:ascii="仿宋_GB2312" w:hAnsi="仿宋" w:eastAsia="仿宋_GB2312"/>
          <w:sz w:val="32"/>
          <w:szCs w:val="32"/>
        </w:rPr>
        <w:t>“社会管理精细化”、“基础设施智能化”、“政府服务高效化”。</w:t>
      </w:r>
    </w:p>
    <w:p>
      <w:pPr>
        <w:spacing w:line="360" w:lineRule="auto"/>
        <w:ind w:firstLine="643" w:firstLineChars="200"/>
        <w:rPr>
          <w:rFonts w:ascii="仿宋_GB2312" w:hAnsi="仿宋" w:eastAsia="仿宋_GB2312"/>
          <w:sz w:val="32"/>
          <w:szCs w:val="32"/>
        </w:rPr>
      </w:pPr>
      <w:r>
        <w:rPr>
          <w:rFonts w:hint="eastAsia" w:ascii="仿宋_GB2312" w:eastAsia="仿宋_GB2312"/>
          <w:b/>
          <w:sz w:val="32"/>
          <w:szCs w:val="32"/>
        </w:rPr>
        <w:t>构建智慧民生新模式。</w:t>
      </w:r>
      <w:r>
        <w:rPr>
          <w:rFonts w:hint="eastAsia" w:ascii="仿宋_GB2312" w:eastAsia="仿宋_GB2312"/>
          <w:sz w:val="32"/>
          <w:szCs w:val="32"/>
        </w:rPr>
        <w:t>结合</w:t>
      </w:r>
      <w:r>
        <w:rPr>
          <w:rFonts w:hint="eastAsia" w:ascii="仿宋_GB2312" w:hAnsi="仿宋" w:eastAsia="仿宋_GB2312"/>
          <w:sz w:val="32"/>
          <w:szCs w:val="32"/>
        </w:rPr>
        <w:t>庞各庄镇智慧城市建设试点，构建公共信息平台和城市公共基础数据库，实现政务信息资源交换和多层次、跨区域的信息资源开发和共享。推动网格化服务管理、智慧市政、地下管网等与百姓生活息息相关的智慧建设与宜居类项目建设。加快智慧服务系统建设，依托现有网络信息服务平台，统筹交通、社区管理、养老、安全等，构建智慧民生新模式。</w:t>
      </w:r>
    </w:p>
    <w:p>
      <w:pPr>
        <w:pStyle w:val="21"/>
        <w:spacing w:before="156" w:beforeLines="50" w:after="156" w:afterLines="50"/>
        <w:ind w:firstLine="640"/>
        <w:outlineLvl w:val="2"/>
        <w:rPr>
          <w:rFonts w:ascii="仿宋_GB2312" w:hAnsi="仿宋" w:eastAsia="仿宋_GB2312"/>
          <w:b/>
          <w:sz w:val="32"/>
          <w:szCs w:val="32"/>
        </w:rPr>
      </w:pPr>
      <w:bookmarkStart w:id="79" w:name="_Toc441572576"/>
      <w:bookmarkStart w:id="80" w:name="_Toc437173111"/>
      <w:r>
        <w:rPr>
          <w:rFonts w:ascii="仿宋_GB2312" w:hAnsi="仿宋" w:eastAsia="仿宋_GB2312"/>
          <w:b/>
          <w:sz w:val="32"/>
          <w:szCs w:val="32"/>
        </w:rPr>
        <w:t>2、</w:t>
      </w:r>
      <w:r>
        <w:rPr>
          <w:rFonts w:hint="eastAsia" w:ascii="仿宋_GB2312" w:hAnsi="仿宋" w:eastAsia="仿宋_GB2312"/>
          <w:b/>
          <w:sz w:val="32"/>
          <w:szCs w:val="32"/>
        </w:rPr>
        <w:t>建设互联能源交通体系</w:t>
      </w:r>
      <w:bookmarkEnd w:id="79"/>
      <w:bookmarkEnd w:id="80"/>
    </w:p>
    <w:p>
      <w:pPr>
        <w:spacing w:line="360" w:lineRule="auto"/>
        <w:rPr>
          <w:rFonts w:ascii="仿宋_GB2312" w:eastAsia="仿宋_GB2312"/>
          <w:sz w:val="32"/>
          <w:szCs w:val="32"/>
        </w:rPr>
      </w:pPr>
      <w:r>
        <w:rPr>
          <w:rFonts w:hint="eastAsia" w:ascii="仿宋_GB2312" w:eastAsia="仿宋_GB2312"/>
          <w:b/>
          <w:sz w:val="32"/>
          <w:szCs w:val="32"/>
        </w:rPr>
        <w:t xml:space="preserve">    优化供水保障渠道。</w:t>
      </w:r>
      <w:r>
        <w:rPr>
          <w:rFonts w:hint="eastAsia" w:ascii="仿宋_GB2312" w:eastAsia="仿宋_GB2312"/>
          <w:sz w:val="32"/>
          <w:szCs w:val="32"/>
        </w:rPr>
        <w:t>建设和改造供水管网，完成庞各庄镇中心水厂和北顿垡水厂的管线连接，逐步实现镇村联网供水，保障城乡居民安全饮水。实施镇村老旧供水管网改造工程。提高再生水的利用率。完成应急水厂建设。</w:t>
      </w:r>
    </w:p>
    <w:p>
      <w:pPr>
        <w:spacing w:line="360" w:lineRule="auto"/>
        <w:ind w:firstLine="570"/>
        <w:rPr>
          <w:rFonts w:ascii="仿宋_GB2312" w:eastAsia="仿宋_GB2312"/>
          <w:sz w:val="32"/>
          <w:szCs w:val="32"/>
        </w:rPr>
      </w:pPr>
      <w:r>
        <w:rPr>
          <w:rFonts w:hint="eastAsia" w:ascii="仿宋_GB2312" w:eastAsia="仿宋_GB2312"/>
          <w:b/>
          <w:sz w:val="32"/>
          <w:szCs w:val="32"/>
        </w:rPr>
        <w:t>加快完善电力设施。</w:t>
      </w:r>
      <w:r>
        <w:rPr>
          <w:rFonts w:hint="eastAsia" w:ascii="仿宋_GB2312" w:eastAsia="仿宋_GB2312"/>
          <w:sz w:val="32"/>
          <w:szCs w:val="32"/>
        </w:rPr>
        <w:t>全面提高配网供电可靠性。增加对新能源的投入，加快分布式电源的并网接入及充电桩的建设。加强对农村电网的改造，到2020年，基本完成农网改造升级，有效提升农网供电可靠性。</w:t>
      </w:r>
    </w:p>
    <w:p>
      <w:pPr>
        <w:spacing w:line="360" w:lineRule="auto"/>
        <w:ind w:firstLine="570"/>
        <w:rPr>
          <w:rFonts w:ascii="仿宋_GB2312" w:eastAsia="仿宋_GB2312"/>
          <w:sz w:val="32"/>
          <w:szCs w:val="32"/>
        </w:rPr>
      </w:pPr>
      <w:r>
        <w:rPr>
          <w:rFonts w:hint="eastAsia" w:ascii="仿宋_GB2312" w:eastAsia="仿宋_GB2312"/>
          <w:b/>
          <w:sz w:val="32"/>
          <w:szCs w:val="32"/>
        </w:rPr>
        <w:t>扩大燃气供给范围。</w:t>
      </w:r>
      <w:r>
        <w:rPr>
          <w:rFonts w:hint="eastAsia" w:ascii="仿宋_GB2312" w:eastAsia="仿宋_GB2312"/>
          <w:sz w:val="32"/>
          <w:szCs w:val="32"/>
        </w:rPr>
        <w:t>加快工业区内的液化石油气集散中心建设，加大送气下乡力度，，完成东黑垡、常各庄、前曹、北曹、赵村、南小营、张新庄、东次、西次等9个村的天然气覆盖，扩大农村管道天然气的覆盖范围，逐步缩小镇区及农村的燃气供应差距。</w:t>
      </w:r>
    </w:p>
    <w:p>
      <w:pPr>
        <w:spacing w:line="360" w:lineRule="auto"/>
        <w:ind w:firstLine="570"/>
        <w:rPr>
          <w:rFonts w:ascii="仿宋_GB2312" w:eastAsia="仿宋_GB2312"/>
          <w:sz w:val="32"/>
          <w:szCs w:val="32"/>
        </w:rPr>
      </w:pPr>
      <w:r>
        <w:rPr>
          <w:rFonts w:hint="eastAsia" w:ascii="仿宋_GB2312" w:eastAsia="仿宋_GB2312"/>
          <w:b/>
          <w:sz w:val="32"/>
          <w:szCs w:val="32"/>
        </w:rPr>
        <w:t>建设地下综合管廊。</w:t>
      </w:r>
      <w:r>
        <w:rPr>
          <w:rFonts w:hint="eastAsia" w:ascii="仿宋_GB2312" w:eastAsia="仿宋_GB2312"/>
          <w:sz w:val="32"/>
          <w:szCs w:val="32"/>
        </w:rPr>
        <w:t>在镇东侧协调区开展地下综合管廊建设，统筹各类市政管线规划、建设和管理，改善“马路拉链”问题，提高城镇道路配建地下综合管廊比例。</w:t>
      </w:r>
    </w:p>
    <w:p>
      <w:pPr>
        <w:spacing w:line="360" w:lineRule="auto"/>
        <w:ind w:firstLine="570"/>
        <w:rPr>
          <w:rFonts w:ascii="仿宋_GB2312" w:hAnsi="仿宋" w:eastAsia="仿宋_GB2312"/>
          <w:sz w:val="32"/>
          <w:szCs w:val="32"/>
        </w:rPr>
      </w:pPr>
      <w:r>
        <w:rPr>
          <w:rFonts w:hint="eastAsia" w:ascii="仿宋_GB2312" w:eastAsia="仿宋_GB2312"/>
          <w:b/>
          <w:sz w:val="32"/>
          <w:szCs w:val="32"/>
        </w:rPr>
        <w:t>完善交通网络系统。</w:t>
      </w:r>
      <w:r>
        <w:rPr>
          <w:rFonts w:hint="eastAsia" w:ascii="仿宋_GB2312" w:hAnsi="仿宋" w:eastAsia="仿宋_GB2312"/>
          <w:sz w:val="32"/>
          <w:szCs w:val="32"/>
        </w:rPr>
        <w:t>强化各种交通方式的互联互通、有效衔接，加强枢纽建设，建立庞各庄镇与北京新机场、大兴新城以及周边其他城镇之间的便捷联系。提升芦求路</w:t>
      </w:r>
      <w:r>
        <w:rPr>
          <w:rFonts w:ascii="仿宋_GB2312" w:hAnsi="仿宋" w:eastAsia="仿宋_GB2312"/>
          <w:sz w:val="32"/>
          <w:szCs w:val="32"/>
        </w:rPr>
        <w:t>、</w:t>
      </w:r>
      <w:r>
        <w:rPr>
          <w:rFonts w:hint="eastAsia" w:ascii="仿宋_GB2312" w:hAnsi="仿宋" w:eastAsia="仿宋_GB2312"/>
          <w:sz w:val="32"/>
          <w:szCs w:val="32"/>
        </w:rPr>
        <w:t>庞安路</w:t>
      </w:r>
      <w:r>
        <w:rPr>
          <w:rFonts w:ascii="仿宋_GB2312" w:hAnsi="仿宋" w:eastAsia="仿宋_GB2312"/>
          <w:sz w:val="32"/>
          <w:szCs w:val="32"/>
        </w:rPr>
        <w:t>、</w:t>
      </w:r>
      <w:r>
        <w:rPr>
          <w:rFonts w:hint="eastAsia" w:ascii="仿宋_GB2312" w:hAnsi="仿宋" w:eastAsia="仿宋_GB2312"/>
          <w:sz w:val="32"/>
          <w:szCs w:val="32"/>
        </w:rPr>
        <w:t>薛赵路等交通要道的畅通性。推进纵二路</w:t>
      </w:r>
      <w:r>
        <w:rPr>
          <w:rFonts w:ascii="仿宋_GB2312" w:hAnsi="仿宋" w:eastAsia="仿宋_GB2312"/>
          <w:sz w:val="32"/>
          <w:szCs w:val="32"/>
        </w:rPr>
        <w:t>、纵三路南段、纵五路、纵八路、纵九路、纵十路、纵十一</w:t>
      </w:r>
      <w:r>
        <w:rPr>
          <w:rFonts w:hint="eastAsia" w:ascii="仿宋_GB2312" w:hAnsi="仿宋" w:eastAsia="仿宋_GB2312"/>
          <w:sz w:val="32"/>
          <w:szCs w:val="32"/>
        </w:rPr>
        <w:t>路、</w:t>
      </w:r>
      <w:r>
        <w:rPr>
          <w:rFonts w:ascii="仿宋_GB2312" w:hAnsi="仿宋" w:eastAsia="仿宋_GB2312"/>
          <w:sz w:val="32"/>
          <w:szCs w:val="32"/>
        </w:rPr>
        <w:t>隆达路、隆兴路、隆昌路、隆顺路、惠中路、田园路等镇区路网建设提升工程，完善庞各庄路</w:t>
      </w:r>
      <w:r>
        <w:rPr>
          <w:rFonts w:hint="eastAsia" w:ascii="仿宋_GB2312" w:hAnsi="仿宋" w:eastAsia="仿宋_GB2312"/>
          <w:sz w:val="32"/>
          <w:szCs w:val="32"/>
        </w:rPr>
        <w:t>市政道路</w:t>
      </w:r>
      <w:r>
        <w:rPr>
          <w:rFonts w:ascii="仿宋_GB2312" w:hAnsi="仿宋" w:eastAsia="仿宋_GB2312"/>
          <w:sz w:val="32"/>
          <w:szCs w:val="32"/>
        </w:rPr>
        <w:t>及管线，修建</w:t>
      </w:r>
      <w:r>
        <w:rPr>
          <w:rFonts w:hint="eastAsia" w:ascii="仿宋_GB2312" w:hAnsi="仿宋" w:eastAsia="仿宋_GB2312"/>
          <w:sz w:val="32"/>
          <w:szCs w:val="32"/>
        </w:rPr>
        <w:t>跨天堂河</w:t>
      </w:r>
      <w:r>
        <w:rPr>
          <w:rFonts w:ascii="仿宋_GB2312" w:hAnsi="仿宋" w:eastAsia="仿宋_GB2312"/>
          <w:sz w:val="32"/>
          <w:szCs w:val="32"/>
        </w:rPr>
        <w:t>民生桥、</w:t>
      </w:r>
      <w:r>
        <w:rPr>
          <w:rFonts w:hint="eastAsia" w:ascii="仿宋_GB2312" w:hAnsi="仿宋" w:eastAsia="仿宋_GB2312"/>
          <w:sz w:val="32"/>
          <w:szCs w:val="32"/>
        </w:rPr>
        <w:t>小加路穿京九铁路</w:t>
      </w:r>
      <w:r>
        <w:rPr>
          <w:rFonts w:ascii="仿宋_GB2312" w:hAnsi="仿宋" w:eastAsia="仿宋_GB2312"/>
          <w:sz w:val="32"/>
          <w:szCs w:val="32"/>
        </w:rPr>
        <w:t>桥涵。</w:t>
      </w:r>
      <w:r>
        <w:rPr>
          <w:rFonts w:hint="eastAsia" w:ascii="仿宋_GB2312" w:hAnsi="仿宋" w:eastAsia="仿宋_GB2312"/>
          <w:sz w:val="32"/>
          <w:szCs w:val="32"/>
        </w:rPr>
        <w:t>推进东赵路和庞魏路等道路拓宽改造工程和瓜乡路西延工程。对镇域内村级道路提级改造，加密路网，打通断头路。</w:t>
      </w:r>
    </w:p>
    <w:p>
      <w:pPr>
        <w:pStyle w:val="2"/>
        <w:jc w:val="left"/>
        <w:rPr>
          <w:sz w:val="36"/>
          <w:szCs w:val="36"/>
        </w:rPr>
      </w:pPr>
      <w:bookmarkStart w:id="81" w:name="_Toc444603345"/>
      <w:bookmarkStart w:id="82" w:name="_Toc460947524"/>
      <w:r>
        <w:rPr>
          <w:rFonts w:hint="eastAsia"/>
          <w:sz w:val="36"/>
          <w:szCs w:val="36"/>
        </w:rPr>
        <w:t>四、改善提升民生福祉</w:t>
      </w:r>
      <w:bookmarkEnd w:id="81"/>
      <w:bookmarkEnd w:id="82"/>
    </w:p>
    <w:p>
      <w:pPr>
        <w:pStyle w:val="3"/>
      </w:pPr>
      <w:bookmarkStart w:id="83" w:name="_Toc460947525"/>
      <w:bookmarkStart w:id="84" w:name="_Toc444603346"/>
      <w:r>
        <w:rPr>
          <w:rFonts w:hint="eastAsia"/>
        </w:rPr>
        <w:t>（一）稳定城乡创业就业增长</w:t>
      </w:r>
      <w:bookmarkEnd w:id="83"/>
      <w:bookmarkEnd w:id="84"/>
    </w:p>
    <w:p>
      <w:pPr>
        <w:pStyle w:val="21"/>
        <w:spacing w:before="156" w:beforeLines="50" w:after="156" w:afterLines="50"/>
        <w:ind w:firstLine="640"/>
        <w:outlineLvl w:val="2"/>
        <w:rPr>
          <w:rFonts w:ascii="仿宋_GB2312" w:hAnsi="仿宋" w:eastAsia="仿宋_GB2312"/>
          <w:b/>
          <w:sz w:val="32"/>
          <w:szCs w:val="32"/>
        </w:rPr>
      </w:pPr>
      <w:r>
        <w:rPr>
          <w:rFonts w:ascii="仿宋_GB2312" w:hAnsi="仿宋" w:eastAsia="仿宋_GB2312"/>
          <w:b/>
          <w:sz w:val="32"/>
          <w:szCs w:val="32"/>
        </w:rPr>
        <w:t>1、</w:t>
      </w:r>
      <w:r>
        <w:rPr>
          <w:rFonts w:hint="eastAsia" w:ascii="仿宋_GB2312" w:hAnsi="仿宋" w:eastAsia="仿宋_GB2312"/>
          <w:b/>
          <w:sz w:val="32"/>
          <w:szCs w:val="32"/>
        </w:rPr>
        <w:t>拓展创业与就业渠道</w:t>
      </w:r>
    </w:p>
    <w:p>
      <w:pPr>
        <w:rPr>
          <w:rFonts w:ascii="仿宋_GB2312" w:hAnsi="仿宋" w:eastAsia="仿宋_GB2312" w:cs="宋体"/>
          <w:bCs/>
          <w:color w:val="000000"/>
          <w:kern w:val="0"/>
          <w:sz w:val="32"/>
          <w:szCs w:val="32"/>
        </w:rPr>
      </w:pPr>
      <w:r>
        <w:rPr>
          <w:rFonts w:ascii="仿宋_GB2312" w:hAnsi="仿宋" w:eastAsia="仿宋_GB2312" w:cs="宋体"/>
          <w:b/>
          <w:bCs/>
          <w:color w:val="000000"/>
          <w:kern w:val="0"/>
          <w:sz w:val="32"/>
          <w:szCs w:val="32"/>
        </w:rPr>
        <w:t xml:space="preserve">    </w:t>
      </w:r>
      <w:r>
        <w:rPr>
          <w:rFonts w:hint="eastAsia" w:ascii="仿宋_GB2312" w:hAnsi="仿宋" w:eastAsia="仿宋_GB2312" w:cs="宋体"/>
          <w:bCs/>
          <w:color w:val="000000"/>
          <w:kern w:val="0"/>
          <w:sz w:val="32"/>
          <w:szCs w:val="32"/>
        </w:rPr>
        <w:t>广泛开发适合庞各庄镇劳动力从事的乡村旅游、临空服务等创业项目，针对性提供免费创业培训服务，做好城镇失业人员、未就业大中专毕业生、农村转移劳动力和复转军人等群体的创业帮扶工作。开展创业意识培养、创业项目指导和创业优惠政策培训，不断提高创业培训质量和受训者的创业能力。</w:t>
      </w:r>
      <w:r>
        <w:rPr>
          <w:rFonts w:hint="eastAsia" w:ascii="仿宋_GB2312" w:hAnsi="仿宋" w:eastAsia="仿宋_GB2312" w:cs="仿宋_GB2312"/>
          <w:color w:val="000000"/>
          <w:kern w:val="0"/>
          <w:sz w:val="32"/>
          <w:szCs w:val="32"/>
        </w:rPr>
        <w:t>依托梨花村等乡村旅游资源和临空区位优势挖掘创业空间，通过提供小额担保贷款业务支持创业启动，落实创新创业政策做好创业引导，营造“</w:t>
      </w:r>
      <w:r>
        <w:rPr>
          <w:rFonts w:hint="eastAsia" w:ascii="仿宋_GB2312" w:hAnsi="仿宋" w:eastAsia="仿宋_GB2312" w:cs="仿宋_GB2312"/>
          <w:color w:val="000000"/>
          <w:kern w:val="0"/>
          <w:sz w:val="32"/>
          <w:szCs w:val="32"/>
          <w:lang w:eastAsia="zh-CN"/>
        </w:rPr>
        <w:t>大众创业、万众创新</w:t>
      </w:r>
      <w:r>
        <w:rPr>
          <w:rFonts w:hint="eastAsia" w:ascii="仿宋_GB2312" w:hAnsi="仿宋" w:eastAsia="仿宋_GB2312" w:cs="仿宋_GB2312"/>
          <w:color w:val="000000"/>
          <w:kern w:val="0"/>
          <w:sz w:val="32"/>
          <w:szCs w:val="32"/>
        </w:rPr>
        <w:t>”的良好氛围。</w:t>
      </w:r>
      <w:r>
        <w:rPr>
          <w:rFonts w:hint="eastAsia" w:ascii="仿宋_GB2312" w:hAnsi="仿宋" w:eastAsia="仿宋_GB2312" w:cs="宋体"/>
          <w:color w:val="000000"/>
          <w:kern w:val="0"/>
          <w:sz w:val="32"/>
          <w:szCs w:val="32"/>
        </w:rPr>
        <w:t>建立健全产业升级与就业结构动态对接机制，继续推进便民服务“三个一”工程，拓宽本地就业渠道。</w:t>
      </w:r>
      <w:r>
        <w:rPr>
          <w:rFonts w:hint="eastAsia" w:ascii="仿宋_GB2312" w:hAnsi="仿宋" w:eastAsia="仿宋_GB2312" w:cs="仿宋_GB2312"/>
          <w:color w:val="000000"/>
          <w:kern w:val="0"/>
          <w:sz w:val="32"/>
          <w:szCs w:val="32"/>
        </w:rPr>
        <w:t>依托平原造林工程及后期养护管理，安排农村劳动力就业。</w:t>
      </w:r>
      <w:r>
        <w:rPr>
          <w:rFonts w:hint="eastAsia" w:ascii="仿宋_GB2312" w:hAnsi="仿宋" w:eastAsia="仿宋_GB2312" w:cs="宋体"/>
          <w:color w:val="000000"/>
          <w:kern w:val="0"/>
          <w:sz w:val="32"/>
          <w:szCs w:val="32"/>
        </w:rPr>
        <w:t>统筹协调林下经济劳动岗位、村庄保洁、治安岗亭等劳动岗位，解决流转土地农民</w:t>
      </w:r>
      <w:r>
        <w:rPr>
          <w:rFonts w:ascii="仿宋_GB2312" w:hAnsi="仿宋" w:eastAsia="仿宋_GB2312" w:cs="宋体"/>
          <w:color w:val="000000"/>
          <w:kern w:val="0"/>
          <w:sz w:val="32"/>
          <w:szCs w:val="32"/>
        </w:rPr>
        <w:t>就业</w:t>
      </w:r>
      <w:r>
        <w:rPr>
          <w:rFonts w:hint="eastAsia" w:ascii="仿宋_GB2312" w:hAnsi="仿宋" w:eastAsia="仿宋_GB2312" w:cs="宋体"/>
          <w:color w:val="000000"/>
          <w:kern w:val="0"/>
          <w:sz w:val="32"/>
          <w:szCs w:val="32"/>
        </w:rPr>
        <w:t>问题。</w:t>
      </w:r>
    </w:p>
    <w:p>
      <w:pPr>
        <w:pStyle w:val="21"/>
        <w:spacing w:before="156" w:beforeLines="50" w:after="156" w:afterLines="50"/>
        <w:ind w:firstLine="640"/>
        <w:outlineLvl w:val="2"/>
        <w:rPr>
          <w:rFonts w:ascii="仿宋_GB2312" w:hAnsi="仿宋" w:eastAsia="仿宋_GB2312"/>
          <w:b/>
          <w:sz w:val="32"/>
          <w:szCs w:val="32"/>
        </w:rPr>
      </w:pPr>
      <w:r>
        <w:rPr>
          <w:rFonts w:ascii="仿宋_GB2312" w:hAnsi="仿宋" w:eastAsia="仿宋_GB2312"/>
          <w:b/>
          <w:sz w:val="32"/>
          <w:szCs w:val="32"/>
        </w:rPr>
        <w:t>2、</w:t>
      </w:r>
      <w:r>
        <w:rPr>
          <w:rFonts w:hint="eastAsia" w:ascii="仿宋_GB2312" w:hAnsi="仿宋" w:eastAsia="仿宋_GB2312"/>
          <w:b/>
          <w:sz w:val="32"/>
          <w:szCs w:val="32"/>
        </w:rPr>
        <w:t>完善公共就业服务体系</w:t>
      </w:r>
    </w:p>
    <w:p>
      <w:pPr>
        <w:rPr>
          <w:rFonts w:ascii="仿宋_GB2312" w:hAnsi="仿宋" w:eastAsia="仿宋_GB2312" w:cs="宋体"/>
          <w:color w:val="000000"/>
          <w:kern w:val="0"/>
          <w:sz w:val="32"/>
          <w:szCs w:val="32"/>
        </w:rPr>
      </w:pPr>
      <w:r>
        <w:rPr>
          <w:rFonts w:ascii="仿宋_GB2312" w:hAnsi="仿宋" w:eastAsia="仿宋_GB2312" w:cs="宋体"/>
          <w:bCs/>
          <w:color w:val="000000"/>
          <w:kern w:val="0"/>
          <w:sz w:val="32"/>
          <w:szCs w:val="32"/>
        </w:rPr>
        <w:t xml:space="preserve">    </w:t>
      </w:r>
      <w:r>
        <w:rPr>
          <w:rFonts w:hint="eastAsia" w:ascii="仿宋_GB2312" w:hAnsi="仿宋" w:eastAsia="仿宋_GB2312" w:cs="宋体"/>
          <w:color w:val="000000"/>
          <w:kern w:val="0"/>
          <w:sz w:val="32"/>
          <w:szCs w:val="32"/>
        </w:rPr>
        <w:t>健全人力资源市场，完善就业服务体系，为镇域常住居民以及流动人口，提供求职登记、就业备案、就业培训、创业扶持、政策咨询、失业登记、特殊援助、劳动关系协调等全面而高效优质的就业服务。加快人力资源和社会保障管理信息系统建设进度，建立健全就业、失业监控系统，构建完善的就业创业信息网络。通过移动互联网、APP等手段及时向社会提供相关就业、培训信息，形成“线上线下”相结合的公共就业服务“互联网</w:t>
      </w:r>
      <w:r>
        <w:rPr>
          <w:rFonts w:ascii="仿宋_GB2312" w:hAnsi="仿宋" w:eastAsia="仿宋_GB2312" w:cs="宋体"/>
          <w:color w:val="000000"/>
          <w:kern w:val="0"/>
          <w:sz w:val="32"/>
          <w:szCs w:val="32"/>
        </w:rPr>
        <w:t>+”模式。探索引入中高端的人力资源服务机构</w:t>
      </w:r>
      <w:r>
        <w:rPr>
          <w:rFonts w:hint="eastAsia" w:ascii="仿宋_GB2312" w:hAnsi="仿宋" w:eastAsia="仿宋_GB2312" w:cs="宋体"/>
          <w:color w:val="000000"/>
          <w:kern w:val="0"/>
          <w:sz w:val="32"/>
          <w:szCs w:val="32"/>
        </w:rPr>
        <w:t>，</w:t>
      </w:r>
      <w:r>
        <w:rPr>
          <w:rFonts w:ascii="仿宋_GB2312" w:hAnsi="仿宋" w:eastAsia="仿宋_GB2312" w:cs="宋体"/>
          <w:color w:val="000000"/>
          <w:kern w:val="0"/>
          <w:sz w:val="32"/>
          <w:szCs w:val="32"/>
        </w:rPr>
        <w:t>建立镇级职业介绍分中心，减少就业手续办理环节。增强劳务派遣公司的服务功能。</w:t>
      </w:r>
      <w:r>
        <w:rPr>
          <w:rFonts w:hint="eastAsia" w:ascii="仿宋_GB2312" w:hAnsi="仿宋" w:eastAsia="仿宋_GB2312" w:cs="宋体"/>
          <w:color w:val="000000"/>
          <w:kern w:val="0"/>
          <w:sz w:val="32"/>
          <w:szCs w:val="32"/>
        </w:rPr>
        <w:t>制定落实各项劳动用工管理制度，从源头防止拖欠工资事件的发生。加强对镇域内用人单位和用工场所巡查力度，完善信息台账，规范用工行为。</w:t>
      </w:r>
    </w:p>
    <w:p>
      <w:pPr>
        <w:pStyle w:val="3"/>
      </w:pPr>
      <w:bookmarkStart w:id="85" w:name="_Toc444603347"/>
      <w:bookmarkStart w:id="86" w:name="_Toc460947526"/>
      <w:r>
        <w:rPr>
          <w:rFonts w:hint="eastAsia"/>
        </w:rPr>
        <w:t>（二）完善新型医疗卫生体系</w:t>
      </w:r>
      <w:bookmarkEnd w:id="85"/>
      <w:bookmarkEnd w:id="86"/>
    </w:p>
    <w:p>
      <w:pPr>
        <w:keepNext/>
        <w:keepLines/>
        <w:spacing w:before="260" w:after="260" w:line="416" w:lineRule="auto"/>
        <w:ind w:firstLine="643" w:firstLineChars="200"/>
        <w:outlineLvl w:val="2"/>
        <w:rPr>
          <w:rFonts w:ascii="仿宋_GB2312" w:hAnsi="华文仿宋" w:eastAsia="仿宋_GB2312" w:cs="黑体"/>
          <w:b/>
          <w:sz w:val="32"/>
          <w:szCs w:val="32"/>
        </w:rPr>
      </w:pPr>
      <w:r>
        <w:rPr>
          <w:rFonts w:ascii="仿宋_GB2312" w:hAnsi="华文仿宋" w:eastAsia="仿宋_GB2312" w:cs="黑体"/>
          <w:b/>
          <w:sz w:val="32"/>
          <w:szCs w:val="32"/>
        </w:rPr>
        <w:t>1、完善</w:t>
      </w:r>
      <w:r>
        <w:rPr>
          <w:rFonts w:hint="eastAsia" w:ascii="仿宋_GB2312" w:hAnsi="华文仿宋" w:eastAsia="仿宋_GB2312" w:cs="黑体"/>
          <w:b/>
          <w:sz w:val="32"/>
          <w:szCs w:val="32"/>
        </w:rPr>
        <w:t>医疗</w:t>
      </w:r>
      <w:r>
        <w:rPr>
          <w:rFonts w:ascii="仿宋_GB2312" w:hAnsi="华文仿宋" w:eastAsia="仿宋_GB2312" w:cs="黑体"/>
          <w:b/>
          <w:sz w:val="32"/>
          <w:szCs w:val="32"/>
        </w:rPr>
        <w:t>卫生社会</w:t>
      </w:r>
      <w:r>
        <w:rPr>
          <w:rFonts w:hint="eastAsia" w:ascii="仿宋_GB2312" w:hAnsi="华文仿宋" w:eastAsia="仿宋_GB2312" w:cs="黑体"/>
          <w:b/>
          <w:sz w:val="32"/>
          <w:szCs w:val="32"/>
        </w:rPr>
        <w:t>保障体系</w:t>
      </w:r>
    </w:p>
    <w:p>
      <w:pPr>
        <w:rPr>
          <w:rFonts w:ascii="仿宋_GB2312" w:hAnsi="仿宋" w:eastAsia="仿宋_GB2312" w:cs="宋体"/>
          <w:color w:val="000000"/>
          <w:kern w:val="0"/>
          <w:sz w:val="32"/>
          <w:szCs w:val="32"/>
        </w:rPr>
      </w:pPr>
      <w:r>
        <w:rPr>
          <w:rFonts w:ascii="仿宋_GB2312" w:hAnsi="仿宋" w:eastAsia="仿宋_GB2312" w:cs="宋体"/>
          <w:color w:val="000000"/>
          <w:kern w:val="0"/>
          <w:sz w:val="32"/>
          <w:szCs w:val="32"/>
        </w:rPr>
        <w:t xml:space="preserve">    </w:t>
      </w:r>
      <w:r>
        <w:rPr>
          <w:rFonts w:hint="eastAsia" w:ascii="仿宋_GB2312" w:hAnsi="仿宋" w:eastAsia="仿宋_GB2312" w:cs="宋体"/>
          <w:color w:val="000000"/>
          <w:kern w:val="0"/>
          <w:sz w:val="32"/>
          <w:szCs w:val="32"/>
        </w:rPr>
        <w:t>配合落实医疗、医保、医药“三医联动”，推动基本医保、大病保险、医疗救助、商业健康保险、社会慈善等衔接配合，促进多层次医疗保障体系的建设。落实重大疾病救助政策，为镇域困难群众就医提供基本保障。</w:t>
      </w:r>
      <w:r>
        <w:rPr>
          <w:rFonts w:hint="eastAsia" w:ascii="仿宋_GB2312" w:hAnsi="宋体" w:eastAsia="仿宋_GB2312" w:cs="宋体"/>
          <w:color w:val="000000"/>
          <w:kern w:val="0"/>
          <w:sz w:val="32"/>
          <w:szCs w:val="32"/>
        </w:rPr>
        <w:t>主动顺应一对夫妇可生育两个孩子政策，适时增加卫生中心等服务设施，</w:t>
      </w:r>
      <w:r>
        <w:rPr>
          <w:rFonts w:hint="eastAsia" w:ascii="仿宋_GB2312" w:hAnsi="仿宋" w:eastAsia="仿宋_GB2312" w:cs="宋体"/>
          <w:color w:val="000000"/>
          <w:kern w:val="0"/>
          <w:sz w:val="32"/>
          <w:szCs w:val="32"/>
        </w:rPr>
        <w:t>提高生殖健康、妇幼保健等健康服务水平，</w:t>
      </w:r>
      <w:r>
        <w:rPr>
          <w:rFonts w:ascii="仿宋_GB2312" w:hAnsi="仿宋" w:eastAsia="仿宋_GB2312" w:cs="宋体"/>
          <w:color w:val="000000"/>
          <w:kern w:val="0"/>
          <w:sz w:val="32"/>
          <w:szCs w:val="32"/>
        </w:rPr>
        <w:t>鼓励</w:t>
      </w:r>
      <w:r>
        <w:rPr>
          <w:rFonts w:hint="eastAsia" w:ascii="仿宋_GB2312" w:hAnsi="宋体" w:eastAsia="仿宋_GB2312" w:cs="宋体"/>
          <w:color w:val="000000"/>
          <w:kern w:val="0"/>
          <w:sz w:val="32"/>
          <w:szCs w:val="32"/>
        </w:rPr>
        <w:t>婚检、孕检工作，</w:t>
      </w:r>
      <w:r>
        <w:rPr>
          <w:rFonts w:hint="eastAsia" w:ascii="仿宋_GB2312" w:hAnsi="仿宋" w:eastAsia="仿宋_GB2312" w:cs="宋体"/>
          <w:color w:val="000000"/>
          <w:kern w:val="0"/>
          <w:sz w:val="32"/>
          <w:szCs w:val="32"/>
        </w:rPr>
        <w:t>保障妇女儿童的健康生长。</w:t>
      </w:r>
      <w:r>
        <w:rPr>
          <w:rFonts w:hint="eastAsia" w:ascii="仿宋_GB2312" w:hAnsi="宋体" w:eastAsia="仿宋_GB2312" w:cs="宋体"/>
          <w:color w:val="000000"/>
          <w:kern w:val="0"/>
          <w:sz w:val="32"/>
          <w:szCs w:val="32"/>
        </w:rPr>
        <w:t>落实各项计生帮扶政策，</w:t>
      </w:r>
      <w:r>
        <w:rPr>
          <w:rFonts w:hint="eastAsia" w:ascii="仿宋_GB2312" w:hAnsi="仿宋" w:eastAsia="仿宋_GB2312" w:cs="宋体"/>
          <w:color w:val="000000"/>
          <w:kern w:val="0"/>
          <w:sz w:val="32"/>
          <w:szCs w:val="32"/>
        </w:rPr>
        <w:t>帮扶存在特殊困难的计划生育家庭。加强以全科医生为重点的基层医疗卫生队伍建设，提高社区医疗卫生队伍素质，</w:t>
      </w:r>
      <w:r>
        <w:rPr>
          <w:rFonts w:hint="eastAsia" w:ascii="仿宋_GB2312" w:hAnsi="宋体" w:eastAsia="仿宋_GB2312" w:cs="宋体"/>
          <w:color w:val="000000"/>
          <w:kern w:val="0"/>
          <w:sz w:val="32"/>
          <w:szCs w:val="32"/>
        </w:rPr>
        <w:t>积极开展内训师培训工作，推广“服务剧本”。充分利用全科诊室和健康自测小屋，开展预约服务工作，完善家庭医生式服务全科诊疗新模式。</w:t>
      </w:r>
      <w:r>
        <w:rPr>
          <w:rFonts w:hint="eastAsia" w:ascii="仿宋_GB2312" w:hAnsi="仿宋" w:eastAsia="仿宋_GB2312" w:cs="宋体"/>
          <w:color w:val="000000"/>
          <w:kern w:val="0"/>
          <w:sz w:val="32"/>
          <w:szCs w:val="32"/>
        </w:rPr>
        <w:t>探索远程医疗、分级诊疗、健康管理等健康服务新模式。</w:t>
      </w:r>
    </w:p>
    <w:p>
      <w:pPr>
        <w:pStyle w:val="3"/>
      </w:pPr>
      <w:bookmarkStart w:id="87" w:name="_Toc444603348"/>
      <w:bookmarkStart w:id="88" w:name="_Toc460947527"/>
      <w:r>
        <w:rPr>
          <w:rFonts w:hint="eastAsia"/>
        </w:rPr>
        <w:t>（三）大力发展教育文体事业</w:t>
      </w:r>
      <w:bookmarkEnd w:id="87"/>
      <w:bookmarkEnd w:id="88"/>
    </w:p>
    <w:p>
      <w:pPr>
        <w:keepNext/>
        <w:keepLines/>
        <w:spacing w:before="260" w:after="260" w:line="416" w:lineRule="auto"/>
        <w:ind w:firstLine="643" w:firstLineChars="200"/>
        <w:outlineLvl w:val="2"/>
        <w:rPr>
          <w:rFonts w:ascii="仿宋_GB2312" w:hAnsi="华文仿宋" w:eastAsia="仿宋_GB2312" w:cs="黑体"/>
          <w:b/>
          <w:sz w:val="32"/>
          <w:szCs w:val="32"/>
        </w:rPr>
      </w:pPr>
      <w:r>
        <w:rPr>
          <w:rFonts w:hint="eastAsia" w:ascii="仿宋_GB2312" w:hAnsi="华文仿宋" w:eastAsia="仿宋_GB2312" w:cs="黑体"/>
          <w:b/>
          <w:sz w:val="32"/>
          <w:szCs w:val="32"/>
        </w:rPr>
        <w:t>1</w:t>
      </w:r>
      <w:r>
        <w:rPr>
          <w:rFonts w:ascii="仿宋_GB2312" w:hAnsi="华文仿宋" w:eastAsia="仿宋_GB2312" w:cs="黑体"/>
          <w:b/>
          <w:sz w:val="32"/>
          <w:szCs w:val="32"/>
        </w:rPr>
        <w:t>、加强社会主义精神文明建设</w:t>
      </w:r>
    </w:p>
    <w:p>
      <w:pPr>
        <w:ind w:firstLine="640" w:firstLineChars="200"/>
        <w:rPr>
          <w:rFonts w:ascii="仿宋_GB2312" w:hAnsi="仿宋" w:eastAsia="仿宋_GB2312"/>
          <w:sz w:val="32"/>
          <w:szCs w:val="32"/>
        </w:rPr>
      </w:pPr>
      <w:r>
        <w:rPr>
          <w:rFonts w:hint="eastAsia" w:ascii="仿宋_GB2312" w:hAnsi="仿宋" w:eastAsia="仿宋_GB2312"/>
          <w:sz w:val="32"/>
          <w:szCs w:val="32"/>
        </w:rPr>
        <w:t>广泛开展民族精神和时代精神教育，支持举办以社会主义核心价值观和“中国梦”为主题的各类展览展示和红色教育活动，深入挖掘身边的好人好事，在全镇范围内评选“身边榜样”，树立模范典型。营造尊重道德模范、学习道德模范、关爱道德模范、争当道德模范的良好氛围。扎实推进精神文明建设，引导人们知荣辱、扬正气、尽义务、守信用，提倡修身律己，尊老爱幼、勤勉做事，提升居民素质和社会文明程度。推动创作更多反映庞各庄镇人民积极进取、不懈奋斗、甘于奉献精神的主旋律和正能量文化精品剧目。深入开展文明村镇、</w:t>
      </w:r>
      <w:r>
        <w:rPr>
          <w:rFonts w:ascii="仿宋_GB2312" w:hAnsi="仿宋" w:eastAsia="仿宋_GB2312"/>
          <w:sz w:val="32"/>
          <w:szCs w:val="32"/>
        </w:rPr>
        <w:t>“</w:t>
      </w:r>
      <w:r>
        <w:rPr>
          <w:rFonts w:hint="eastAsia" w:ascii="仿宋_GB2312" w:hAnsi="仿宋" w:eastAsia="仿宋_GB2312"/>
          <w:sz w:val="32"/>
          <w:szCs w:val="32"/>
        </w:rPr>
        <w:t>星级文明户</w:t>
      </w:r>
      <w:r>
        <w:rPr>
          <w:rFonts w:ascii="仿宋_GB2312" w:hAnsi="仿宋" w:eastAsia="仿宋_GB2312"/>
          <w:sz w:val="32"/>
          <w:szCs w:val="32"/>
        </w:rPr>
        <w:t>”</w:t>
      </w:r>
      <w:r>
        <w:rPr>
          <w:rFonts w:hint="eastAsia" w:ascii="仿宋_GB2312" w:hAnsi="仿宋" w:eastAsia="仿宋_GB2312"/>
          <w:sz w:val="32"/>
          <w:szCs w:val="32"/>
        </w:rPr>
        <w:t>、</w:t>
      </w:r>
      <w:r>
        <w:rPr>
          <w:rFonts w:ascii="仿宋_GB2312" w:hAnsi="仿宋" w:eastAsia="仿宋_GB2312"/>
          <w:sz w:val="32"/>
          <w:szCs w:val="32"/>
        </w:rPr>
        <w:t>“</w:t>
      </w:r>
      <w:r>
        <w:rPr>
          <w:rFonts w:hint="eastAsia" w:ascii="仿宋_GB2312" w:hAnsi="仿宋" w:eastAsia="仿宋_GB2312"/>
          <w:sz w:val="32"/>
          <w:szCs w:val="32"/>
        </w:rPr>
        <w:t>五好文明家庭</w:t>
      </w:r>
      <w:r>
        <w:rPr>
          <w:rFonts w:ascii="仿宋_GB2312" w:hAnsi="仿宋" w:eastAsia="仿宋_GB2312"/>
          <w:sz w:val="32"/>
          <w:szCs w:val="32"/>
        </w:rPr>
        <w:t>”</w:t>
      </w:r>
      <w:r>
        <w:rPr>
          <w:rFonts w:hint="eastAsia" w:ascii="仿宋_GB2312" w:hAnsi="仿宋" w:eastAsia="仿宋_GB2312"/>
          <w:sz w:val="32"/>
          <w:szCs w:val="32"/>
        </w:rPr>
        <w:t>创建，培育文明乡风、优良家风、新乡贤文化。鼓励人人争做“文明有礼”庞各庄人。弘扬优秀传统文化，抓好移风易俗，树立健康文明新风尚。</w:t>
      </w:r>
    </w:p>
    <w:p>
      <w:pPr>
        <w:keepNext/>
        <w:keepLines/>
        <w:spacing w:before="260" w:after="260" w:line="416" w:lineRule="auto"/>
        <w:ind w:firstLine="643" w:firstLineChars="200"/>
        <w:outlineLvl w:val="2"/>
        <w:rPr>
          <w:rFonts w:ascii="仿宋_GB2312" w:hAnsi="华文仿宋" w:eastAsia="仿宋_GB2312" w:cs="黑体"/>
          <w:b/>
          <w:sz w:val="32"/>
          <w:szCs w:val="32"/>
        </w:rPr>
      </w:pPr>
      <w:r>
        <w:rPr>
          <w:rFonts w:hint="eastAsia" w:ascii="仿宋_GB2312" w:hAnsi="华文仿宋" w:eastAsia="仿宋_GB2312" w:cs="黑体"/>
          <w:b/>
          <w:sz w:val="32"/>
          <w:szCs w:val="32"/>
        </w:rPr>
        <w:t>2、全面提升教育水平</w:t>
      </w:r>
    </w:p>
    <w:p>
      <w:pPr>
        <w:ind w:firstLine="555"/>
        <w:rPr>
          <w:rFonts w:ascii="仿宋_GB2312" w:hAnsi="仿宋" w:eastAsia="仿宋_GB2312"/>
          <w:sz w:val="32"/>
          <w:szCs w:val="32"/>
        </w:rPr>
      </w:pPr>
      <w:r>
        <w:rPr>
          <w:rFonts w:hint="eastAsia" w:ascii="仿宋_GB2312" w:eastAsia="仿宋_GB2312"/>
          <w:b/>
          <w:sz w:val="32"/>
          <w:szCs w:val="32"/>
        </w:rPr>
        <w:t>提升发展学前教育。</w:t>
      </w:r>
      <w:r>
        <w:rPr>
          <w:rFonts w:hint="eastAsia" w:ascii="仿宋_GB2312" w:hAnsi="仿宋" w:eastAsia="仿宋_GB2312"/>
          <w:sz w:val="32"/>
          <w:szCs w:val="32"/>
        </w:rPr>
        <w:t>加快引进优质学前教育机构，积极发展公办幼儿园，大力扶持民办幼儿园，落实御园回迁社区及富力丹麦小镇、富力童话时光等新建小区配套幼儿园建设，改造提升现有幼儿园条件，积极提升学前教育水平，形成政府主导、公办民办并举的学前教育服务体系。</w:t>
      </w:r>
    </w:p>
    <w:p>
      <w:pPr>
        <w:widowControl/>
        <w:spacing w:before="156" w:beforeLines="50" w:line="360" w:lineRule="auto"/>
        <w:ind w:firstLine="643" w:firstLineChars="200"/>
        <w:rPr>
          <w:rFonts w:ascii="华文中宋" w:hAnsi="华文中宋" w:eastAsia="楷体" w:cs="Times New Roman"/>
          <w:b/>
          <w:kern w:val="0"/>
          <w:sz w:val="32"/>
          <w:szCs w:val="32"/>
        </w:rPr>
      </w:pPr>
      <w:r>
        <w:rPr>
          <w:rFonts w:hint="eastAsia" w:ascii="仿宋_GB2312" w:eastAsia="仿宋_GB2312"/>
          <w:b/>
          <w:sz w:val="32"/>
          <w:szCs w:val="32"/>
        </w:rPr>
        <w:t>普及优质义务教育。</w:t>
      </w:r>
      <w:r>
        <w:rPr>
          <w:rFonts w:ascii="仿宋_GB2312" w:hAnsi="仿宋" w:eastAsia="仿宋_GB2312"/>
          <w:sz w:val="32"/>
          <w:szCs w:val="32"/>
        </w:rPr>
        <w:t>统一教育用地，确保教育用地充足。</w:t>
      </w:r>
      <w:r>
        <w:rPr>
          <w:rFonts w:hint="eastAsia" w:ascii="仿宋_GB2312" w:hAnsi="仿宋" w:eastAsia="仿宋_GB2312"/>
          <w:sz w:val="32"/>
          <w:szCs w:val="32"/>
        </w:rPr>
        <w:t>落实小区与学校合理配套，保障优质义务教育资源均衡发展。加快庞各庄镇义务教育公办学校标准化建设，加强教师队伍特别是乡村教师队伍建设，推进城乡教师交流。创新办学体制机制，全面提升基础教育现代化、国际化发展水平。鼓励发展开放式办学模式。</w:t>
      </w:r>
    </w:p>
    <w:p>
      <w:pPr>
        <w:keepNext/>
        <w:keepLines/>
        <w:spacing w:before="260" w:after="260" w:line="416" w:lineRule="auto"/>
        <w:ind w:firstLine="643" w:firstLineChars="200"/>
        <w:outlineLvl w:val="2"/>
        <w:rPr>
          <w:rFonts w:ascii="仿宋_GB2312" w:hAnsi="华文仿宋" w:eastAsia="仿宋_GB2312" w:cs="黑体"/>
          <w:b/>
          <w:sz w:val="32"/>
          <w:szCs w:val="32"/>
        </w:rPr>
      </w:pPr>
      <w:r>
        <w:rPr>
          <w:rFonts w:ascii="仿宋_GB2312" w:hAnsi="华文仿宋" w:eastAsia="仿宋_GB2312" w:cs="黑体"/>
          <w:b/>
          <w:sz w:val="32"/>
          <w:szCs w:val="32"/>
        </w:rPr>
        <w:t>3、</w:t>
      </w:r>
      <w:r>
        <w:rPr>
          <w:rFonts w:hint="eastAsia" w:ascii="仿宋_GB2312" w:hAnsi="华文仿宋" w:eastAsia="仿宋_GB2312" w:cs="黑体"/>
          <w:b/>
          <w:sz w:val="32"/>
          <w:szCs w:val="32"/>
        </w:rPr>
        <w:t>建设公共文化服务示范区</w:t>
      </w:r>
      <w:r>
        <w:rPr>
          <w:rFonts w:ascii="仿宋_GB2312" w:hAnsi="华文仿宋" w:eastAsia="仿宋_GB2312" w:cs="黑体"/>
          <w:b/>
          <w:sz w:val="32"/>
          <w:szCs w:val="32"/>
        </w:rPr>
        <w:t xml:space="preserve"> </w:t>
      </w:r>
    </w:p>
    <w:p>
      <w:pPr>
        <w:ind w:firstLine="643" w:firstLineChars="200"/>
        <w:rPr>
          <w:rFonts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rPr>
        <w:t>打造群众文化活动品牌</w:t>
      </w:r>
      <w:r>
        <w:rPr>
          <w:rFonts w:hint="eastAsia" w:ascii="仿宋_GB2312" w:hAnsi="仿宋" w:eastAsia="仿宋_GB2312" w:cs="宋体"/>
          <w:color w:val="000000"/>
          <w:kern w:val="0"/>
          <w:sz w:val="32"/>
          <w:szCs w:val="32"/>
        </w:rPr>
        <w:t>。开展文化队伍技能提升活动，组织文化管理员技能比武、专业培训，提升文化队伍整体素质。</w:t>
      </w:r>
      <w:r>
        <w:rPr>
          <w:rFonts w:ascii="仿宋_GB2312" w:hAnsi="仿宋" w:eastAsia="仿宋_GB2312" w:cs="宋体"/>
          <w:color w:val="000000"/>
          <w:kern w:val="0"/>
          <w:sz w:val="32"/>
          <w:szCs w:val="32"/>
        </w:rPr>
        <w:t>通过购买社会服务提升文化</w:t>
      </w:r>
      <w:r>
        <w:rPr>
          <w:rFonts w:hint="eastAsia" w:ascii="仿宋_GB2312" w:hAnsi="仿宋" w:eastAsia="仿宋_GB2312" w:cs="宋体"/>
          <w:color w:val="000000"/>
          <w:kern w:val="0"/>
          <w:sz w:val="32"/>
          <w:szCs w:val="32"/>
        </w:rPr>
        <w:t>产品</w:t>
      </w:r>
      <w:r>
        <w:rPr>
          <w:rFonts w:ascii="仿宋_GB2312" w:hAnsi="仿宋" w:eastAsia="仿宋_GB2312" w:cs="宋体"/>
          <w:color w:val="000000"/>
          <w:kern w:val="0"/>
          <w:sz w:val="32"/>
          <w:szCs w:val="32"/>
        </w:rPr>
        <w:t>和服务供给</w:t>
      </w:r>
      <w:r>
        <w:rPr>
          <w:rFonts w:hint="eastAsia" w:ascii="仿宋_GB2312" w:hAnsi="仿宋" w:eastAsia="仿宋_GB2312" w:cs="宋体"/>
          <w:color w:val="000000"/>
          <w:kern w:val="0"/>
          <w:sz w:val="32"/>
          <w:szCs w:val="32"/>
        </w:rPr>
        <w:t>质量</w:t>
      </w:r>
      <w:r>
        <w:rPr>
          <w:rFonts w:ascii="仿宋_GB2312" w:hAnsi="仿宋" w:eastAsia="仿宋_GB2312" w:cs="宋体"/>
          <w:color w:val="000000"/>
          <w:kern w:val="0"/>
          <w:sz w:val="32"/>
          <w:szCs w:val="32"/>
        </w:rPr>
        <w:t>与效率。</w:t>
      </w:r>
      <w:r>
        <w:rPr>
          <w:rFonts w:ascii="仿宋_GB2312" w:hAnsi="宋体" w:eastAsia="仿宋_GB2312" w:cs="宋体"/>
          <w:color w:val="000000"/>
          <w:kern w:val="0"/>
          <w:sz w:val="32"/>
          <w:szCs w:val="32"/>
        </w:rPr>
        <w:t>积极利用新媒体进行文化展示，</w:t>
      </w:r>
      <w:r>
        <w:rPr>
          <w:rFonts w:hint="eastAsia" w:ascii="仿宋_GB2312" w:hAnsi="宋体" w:eastAsia="仿宋_GB2312" w:cs="宋体"/>
          <w:color w:val="000000"/>
          <w:kern w:val="0"/>
          <w:sz w:val="32"/>
          <w:szCs w:val="32"/>
        </w:rPr>
        <w:t>促进</w:t>
      </w:r>
      <w:r>
        <w:rPr>
          <w:rFonts w:ascii="仿宋_GB2312" w:hAnsi="宋体" w:eastAsia="仿宋_GB2312" w:cs="宋体"/>
          <w:color w:val="000000"/>
          <w:kern w:val="0"/>
          <w:sz w:val="32"/>
          <w:szCs w:val="32"/>
        </w:rPr>
        <w:t>“互联网＋”</w:t>
      </w:r>
      <w:r>
        <w:rPr>
          <w:rFonts w:hint="eastAsia" w:ascii="仿宋_GB2312" w:hAnsi="宋体" w:eastAsia="仿宋_GB2312" w:cs="宋体"/>
          <w:color w:val="000000"/>
          <w:kern w:val="0"/>
          <w:sz w:val="32"/>
          <w:szCs w:val="32"/>
        </w:rPr>
        <w:t>与文化</w:t>
      </w:r>
      <w:r>
        <w:rPr>
          <w:rFonts w:ascii="仿宋_GB2312" w:hAnsi="宋体" w:eastAsia="仿宋_GB2312" w:cs="宋体"/>
          <w:color w:val="000000"/>
          <w:kern w:val="0"/>
          <w:sz w:val="32"/>
          <w:szCs w:val="32"/>
        </w:rPr>
        <w:t>经济和文化事业的融合发展</w:t>
      </w:r>
      <w:r>
        <w:rPr>
          <w:rFonts w:hint="eastAsia" w:ascii="仿宋_GB2312" w:hAnsi="仿宋" w:eastAsia="仿宋_GB2312" w:cs="宋体"/>
          <w:color w:val="000000"/>
          <w:kern w:val="0"/>
          <w:sz w:val="32"/>
          <w:szCs w:val="32"/>
        </w:rPr>
        <w:t>。</w:t>
      </w:r>
      <w:r>
        <w:rPr>
          <w:rFonts w:ascii="仿宋_GB2312" w:hAnsi="仿宋" w:eastAsia="仿宋_GB2312" w:cs="宋体"/>
          <w:color w:val="000000"/>
          <w:kern w:val="0"/>
          <w:sz w:val="32"/>
          <w:szCs w:val="32"/>
        </w:rPr>
        <w:t>继续广泛</w:t>
      </w:r>
      <w:r>
        <w:rPr>
          <w:rFonts w:hint="eastAsia" w:ascii="仿宋_GB2312" w:hAnsi="仿宋" w:eastAsia="仿宋_GB2312" w:cs="宋体"/>
          <w:color w:val="000000"/>
          <w:kern w:val="0"/>
          <w:sz w:val="32"/>
          <w:szCs w:val="32"/>
        </w:rPr>
        <w:t>开展文化惠民活动，举办大型群众文化活动，促进群众文化素质与经济社会同步协调发展。建立</w:t>
      </w:r>
      <w:r>
        <w:rPr>
          <w:rFonts w:ascii="仿宋_GB2312" w:hAnsi="仿宋" w:eastAsia="仿宋_GB2312" w:cs="宋体"/>
          <w:color w:val="000000"/>
          <w:kern w:val="0"/>
          <w:sz w:val="32"/>
          <w:szCs w:val="32"/>
        </w:rPr>
        <w:t>健全</w:t>
      </w:r>
      <w:r>
        <w:rPr>
          <w:rFonts w:hint="eastAsia" w:ascii="仿宋_GB2312" w:hAnsi="仿宋" w:eastAsia="仿宋_GB2312" w:cs="宋体"/>
          <w:color w:val="000000"/>
          <w:kern w:val="0"/>
          <w:sz w:val="32"/>
          <w:szCs w:val="32"/>
        </w:rPr>
        <w:t>奖励、激励机制，充分发掘庞各庄历史人文底蕴，重点在书画、戏剧、文学、民歌、摄影等领域培育专业人才，收集艺术精品，打造</w:t>
      </w:r>
      <w:r>
        <w:rPr>
          <w:rFonts w:ascii="仿宋_GB2312" w:hAnsi="仿宋" w:eastAsia="仿宋_GB2312" w:cs="宋体"/>
          <w:color w:val="000000"/>
          <w:kern w:val="0"/>
          <w:sz w:val="32"/>
          <w:szCs w:val="32"/>
        </w:rPr>
        <w:t>1-2个精品节目，进一步提升庞各庄镇对外知名度。</w:t>
      </w:r>
    </w:p>
    <w:p>
      <w:pPr>
        <w:adjustRightInd w:val="0"/>
        <w:spacing w:line="360" w:lineRule="auto"/>
        <w:ind w:firstLine="643" w:firstLineChars="200"/>
        <w:rPr>
          <w:rFonts w:ascii="仿宋_GB2312" w:hAnsi="仿宋" w:eastAsia="仿宋_GB2312" w:cs="宋体"/>
          <w:color w:val="000000"/>
          <w:kern w:val="0"/>
          <w:sz w:val="32"/>
          <w:szCs w:val="32"/>
        </w:rPr>
      </w:pPr>
      <w:r>
        <w:rPr>
          <w:rFonts w:ascii="仿宋_GB2312" w:hAnsi="仿宋" w:eastAsia="仿宋_GB2312" w:cs="宋体"/>
          <w:b/>
          <w:color w:val="000000"/>
          <w:kern w:val="0"/>
          <w:sz w:val="32"/>
          <w:szCs w:val="32"/>
        </w:rPr>
        <w:t>提升文化惠民工程</w:t>
      </w:r>
      <w:r>
        <w:rPr>
          <w:rFonts w:hint="eastAsia" w:ascii="仿宋_GB2312" w:hAnsi="仿宋" w:eastAsia="仿宋_GB2312" w:cs="宋体"/>
          <w:b/>
          <w:color w:val="000000"/>
          <w:kern w:val="0"/>
          <w:sz w:val="32"/>
          <w:szCs w:val="32"/>
        </w:rPr>
        <w:t>，</w:t>
      </w:r>
      <w:r>
        <w:rPr>
          <w:rFonts w:ascii="仿宋_GB2312" w:hAnsi="仿宋" w:eastAsia="仿宋_GB2312" w:cs="宋体"/>
          <w:b/>
          <w:color w:val="000000"/>
          <w:kern w:val="0"/>
          <w:sz w:val="32"/>
          <w:szCs w:val="32"/>
        </w:rPr>
        <w:t>进一步促进</w:t>
      </w:r>
      <w:r>
        <w:rPr>
          <w:rFonts w:hint="eastAsia" w:ascii="仿宋_GB2312" w:hAnsi="仿宋" w:eastAsia="仿宋_GB2312" w:cs="宋体"/>
          <w:b/>
          <w:color w:val="000000"/>
          <w:kern w:val="0"/>
          <w:sz w:val="32"/>
          <w:szCs w:val="32"/>
        </w:rPr>
        <w:t>公共文化服务均等化。</w:t>
      </w:r>
      <w:r>
        <w:rPr>
          <w:rFonts w:ascii="仿宋_GB2312" w:hAnsi="仿宋" w:eastAsia="仿宋_GB2312" w:cs="宋体"/>
          <w:color w:val="000000"/>
          <w:kern w:val="0"/>
          <w:sz w:val="32"/>
          <w:szCs w:val="32"/>
        </w:rPr>
        <w:t>完善镇</w:t>
      </w:r>
      <w:r>
        <w:rPr>
          <w:rFonts w:hint="eastAsia" w:ascii="仿宋_GB2312" w:hAnsi="仿宋" w:eastAsia="仿宋_GB2312" w:cs="宋体"/>
          <w:color w:val="000000"/>
          <w:kern w:val="0"/>
          <w:sz w:val="32"/>
          <w:szCs w:val="32"/>
        </w:rPr>
        <w:t>级文体</w:t>
      </w:r>
      <w:r>
        <w:rPr>
          <w:rFonts w:ascii="仿宋_GB2312" w:hAnsi="仿宋" w:eastAsia="仿宋_GB2312" w:cs="宋体"/>
          <w:color w:val="000000"/>
          <w:kern w:val="0"/>
          <w:sz w:val="32"/>
          <w:szCs w:val="32"/>
        </w:rPr>
        <w:t>活动</w:t>
      </w:r>
      <w:r>
        <w:rPr>
          <w:rFonts w:hint="eastAsia" w:ascii="仿宋_GB2312" w:hAnsi="仿宋" w:eastAsia="仿宋_GB2312" w:cs="宋体"/>
          <w:color w:val="000000"/>
          <w:kern w:val="0"/>
          <w:sz w:val="32"/>
          <w:szCs w:val="32"/>
        </w:rPr>
        <w:t>中心</w:t>
      </w:r>
      <w:r>
        <w:rPr>
          <w:rFonts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rPr>
        <w:t>提升</w:t>
      </w:r>
      <w:r>
        <w:rPr>
          <w:rFonts w:ascii="仿宋_GB2312" w:hAnsi="仿宋" w:eastAsia="仿宋_GB2312" w:cs="宋体"/>
          <w:color w:val="000000"/>
          <w:kern w:val="0"/>
          <w:sz w:val="32"/>
          <w:szCs w:val="32"/>
        </w:rPr>
        <w:t>村级</w:t>
      </w:r>
      <w:r>
        <w:rPr>
          <w:rFonts w:hint="eastAsia" w:ascii="仿宋_GB2312" w:hAnsi="仿宋" w:eastAsia="仿宋_GB2312" w:cs="宋体"/>
          <w:color w:val="000000"/>
          <w:kern w:val="0"/>
          <w:sz w:val="32"/>
          <w:szCs w:val="32"/>
        </w:rPr>
        <w:t>文体活动场地硬件</w:t>
      </w:r>
      <w:r>
        <w:rPr>
          <w:rFonts w:ascii="仿宋_GB2312" w:hAnsi="仿宋" w:eastAsia="仿宋_GB2312" w:cs="宋体"/>
          <w:color w:val="000000"/>
          <w:kern w:val="0"/>
          <w:sz w:val="32"/>
          <w:szCs w:val="32"/>
        </w:rPr>
        <w:t>水平。实现</w:t>
      </w:r>
      <w:r>
        <w:rPr>
          <w:rFonts w:hint="eastAsia" w:ascii="仿宋_GB2312" w:hAnsi="仿宋" w:eastAsia="仿宋_GB2312" w:cs="宋体"/>
          <w:color w:val="000000"/>
          <w:kern w:val="0"/>
          <w:sz w:val="32"/>
          <w:szCs w:val="32"/>
        </w:rPr>
        <w:t>农村室外健身器材</w:t>
      </w:r>
      <w:r>
        <w:rPr>
          <w:rFonts w:ascii="仿宋_GB2312" w:hAnsi="仿宋" w:eastAsia="仿宋_GB2312" w:cs="宋体"/>
          <w:color w:val="000000"/>
          <w:kern w:val="0"/>
          <w:sz w:val="32"/>
          <w:szCs w:val="32"/>
        </w:rPr>
        <w:t>全覆盖</w:t>
      </w:r>
      <w:r>
        <w:rPr>
          <w:rFonts w:hint="eastAsia" w:ascii="仿宋_GB2312" w:hAnsi="仿宋" w:eastAsia="仿宋_GB2312" w:cs="宋体"/>
          <w:color w:val="000000"/>
          <w:kern w:val="0"/>
          <w:sz w:val="32"/>
          <w:szCs w:val="32"/>
        </w:rPr>
        <w:t>，完善村级文化大院基础设施，改善群众文化场所条件。</w:t>
      </w:r>
      <w:r>
        <w:rPr>
          <w:rFonts w:ascii="仿宋_GB2312" w:hAnsi="仿宋" w:eastAsia="仿宋_GB2312" w:cs="宋体"/>
          <w:color w:val="000000"/>
          <w:kern w:val="0"/>
          <w:sz w:val="32"/>
          <w:szCs w:val="32"/>
        </w:rPr>
        <w:t>建设健全</w:t>
      </w:r>
      <w:r>
        <w:rPr>
          <w:rFonts w:hint="eastAsia" w:ascii="仿宋_GB2312" w:hAnsi="仿宋" w:eastAsia="仿宋_GB2312" w:cs="宋体"/>
          <w:color w:val="000000"/>
          <w:kern w:val="0"/>
          <w:sz w:val="32"/>
          <w:szCs w:val="32"/>
        </w:rPr>
        <w:t>可共享文化信息资源的社区公共图书馆、以现代都市农业和高端服务业为主题的科普馆、基于庞各庄镇特色文化传承的文化馆、展现庞各庄镇历史文化变迁的博物馆“新四馆”建设。</w:t>
      </w:r>
      <w:r>
        <w:rPr>
          <w:rFonts w:hint="eastAsia" w:ascii="仿宋_GB2312" w:hAnsi="宋体" w:eastAsia="仿宋_GB2312" w:cs="宋体"/>
          <w:color w:val="000000"/>
          <w:kern w:val="0"/>
          <w:sz w:val="32"/>
          <w:szCs w:val="32"/>
        </w:rPr>
        <w:t>支持城市民办文化机构和人员到农村兴办公共文化事业或向农村延伸服务。加大历史文化资源保护力度，强化公共文化市场安全，</w:t>
      </w:r>
      <w:r>
        <w:rPr>
          <w:rFonts w:ascii="仿宋_GB2312" w:hAnsi="宋体" w:eastAsia="仿宋_GB2312" w:cs="宋体"/>
          <w:color w:val="000000"/>
          <w:kern w:val="0"/>
          <w:sz w:val="32"/>
          <w:szCs w:val="32"/>
        </w:rPr>
        <w:t>加强黄赌毒的监管</w:t>
      </w:r>
      <w:r>
        <w:rPr>
          <w:rFonts w:hint="eastAsia" w:ascii="仿宋_GB2312" w:hAnsi="宋体" w:eastAsia="仿宋_GB2312" w:cs="宋体"/>
          <w:color w:val="000000"/>
          <w:kern w:val="0"/>
          <w:sz w:val="32"/>
          <w:szCs w:val="32"/>
        </w:rPr>
        <w:t>。</w:t>
      </w:r>
    </w:p>
    <w:p>
      <w:pPr>
        <w:keepNext/>
        <w:keepLines/>
        <w:spacing w:before="260" w:after="260" w:line="416" w:lineRule="auto"/>
        <w:ind w:firstLine="643" w:firstLineChars="200"/>
        <w:outlineLvl w:val="2"/>
        <w:rPr>
          <w:rFonts w:ascii="仿宋_GB2312" w:hAnsi="华文仿宋" w:eastAsia="仿宋_GB2312" w:cs="黑体"/>
          <w:b/>
          <w:sz w:val="32"/>
          <w:szCs w:val="32"/>
        </w:rPr>
      </w:pPr>
      <w:r>
        <w:rPr>
          <w:rFonts w:ascii="仿宋_GB2312" w:hAnsi="华文仿宋" w:eastAsia="仿宋_GB2312" w:cs="黑体"/>
          <w:b/>
          <w:sz w:val="32"/>
          <w:szCs w:val="32"/>
        </w:rPr>
        <w:t>4、</w:t>
      </w:r>
      <w:r>
        <w:rPr>
          <w:rFonts w:hint="eastAsia" w:ascii="仿宋_GB2312" w:hAnsi="华文仿宋" w:eastAsia="仿宋_GB2312" w:cs="黑体"/>
          <w:b/>
          <w:sz w:val="32"/>
          <w:szCs w:val="32"/>
        </w:rPr>
        <w:t>倡导全民健身运动</w:t>
      </w:r>
    </w:p>
    <w:p>
      <w:pPr>
        <w:rPr>
          <w:rFonts w:ascii="仿宋_GB2312" w:hAnsi="仿宋" w:eastAsia="仿宋_GB2312" w:cs="宋体"/>
          <w:color w:val="000000"/>
          <w:kern w:val="0"/>
          <w:sz w:val="32"/>
          <w:szCs w:val="32"/>
          <w:lang w:val="zh-CN"/>
        </w:rPr>
      </w:pPr>
      <w:r>
        <w:rPr>
          <w:rFonts w:ascii="仿宋_GB2312" w:hAnsi="仿宋" w:eastAsia="仿宋_GB2312" w:cs="宋体"/>
          <w:color w:val="000000"/>
          <w:kern w:val="0"/>
          <w:sz w:val="32"/>
          <w:szCs w:val="32"/>
          <w:lang w:val="zh-CN"/>
        </w:rPr>
        <w:t xml:space="preserve">    </w:t>
      </w:r>
      <w:r>
        <w:rPr>
          <w:rFonts w:hint="eastAsia" w:ascii="仿宋_GB2312" w:hAnsi="仿宋" w:eastAsia="仿宋_GB2312" w:cs="宋体"/>
          <w:color w:val="000000"/>
          <w:kern w:val="0"/>
          <w:sz w:val="32"/>
          <w:szCs w:val="32"/>
          <w:lang w:val="zh-CN"/>
        </w:rPr>
        <w:t>加强体育设施建设，推进体育中心、体育公园和体育广场的建设，扶持社区体育俱乐部、青少年体育俱乐部和体育健身站（点）等基层体育设施建设，努力实现人均公共体育场地面积等指标达到国家规定的标准。</w:t>
      </w:r>
      <w:r>
        <w:rPr>
          <w:rFonts w:hint="eastAsia" w:ascii="仿宋_GB2312" w:hAnsi="仿宋" w:eastAsia="仿宋_GB2312" w:cs="宋体"/>
          <w:color w:val="000000"/>
          <w:kern w:val="0"/>
          <w:sz w:val="32"/>
          <w:szCs w:val="32"/>
        </w:rPr>
        <w:t>推动公共体育场馆设施向社会开放率达到</w:t>
      </w:r>
      <w:r>
        <w:rPr>
          <w:rFonts w:ascii="仿宋_GB2312" w:hAnsi="仿宋" w:eastAsia="仿宋_GB2312" w:cs="宋体"/>
          <w:color w:val="000000"/>
          <w:kern w:val="0"/>
          <w:sz w:val="32"/>
          <w:szCs w:val="32"/>
        </w:rPr>
        <w:t>100%，学校体育设施向社会开放率达到75%以上。</w:t>
      </w:r>
      <w:r>
        <w:rPr>
          <w:rFonts w:hint="eastAsia" w:ascii="仿宋_GB2312" w:hAnsi="仿宋" w:eastAsia="仿宋_GB2312" w:cs="宋体"/>
          <w:color w:val="000000"/>
          <w:kern w:val="0"/>
          <w:sz w:val="32"/>
          <w:szCs w:val="32"/>
          <w:lang w:val="zh-CN"/>
        </w:rPr>
        <w:t>健全镇村基层全民健身组织服务体系，发展壮大社会体育指导员队伍，大力开展群众体育活动。建立体质测定与运动健身指导站，加强体质监测工作，普及科学健身知识，指导群众科学健身。</w:t>
      </w:r>
      <w:r>
        <w:rPr>
          <w:rFonts w:hint="eastAsia" w:ascii="仿宋_GB2312" w:hAnsi="仿宋" w:eastAsia="仿宋_GB2312" w:cs="宋体"/>
          <w:color w:val="000000"/>
          <w:kern w:val="0"/>
          <w:sz w:val="32"/>
          <w:szCs w:val="32"/>
        </w:rPr>
        <w:t>采取多种形式普及体育知识，推广体育活动，实施全民健身工程，创建</w:t>
      </w:r>
      <w:r>
        <w:rPr>
          <w:rFonts w:ascii="仿宋_GB2312" w:hAnsi="仿宋" w:eastAsia="仿宋_GB2312" w:cs="宋体"/>
          <w:color w:val="000000"/>
          <w:kern w:val="0"/>
          <w:sz w:val="32"/>
          <w:szCs w:val="32"/>
        </w:rPr>
        <w:t>在全镇范围内有影响、具有本地特色、深受群众欢迎的全民健身品牌活动，满足群众体育健身娱乐多种需求。</w:t>
      </w:r>
    </w:p>
    <w:p>
      <w:pPr>
        <w:pStyle w:val="3"/>
      </w:pPr>
      <w:bookmarkStart w:id="89" w:name="_Toc460947528"/>
      <w:bookmarkStart w:id="90" w:name="_Toc444603349"/>
      <w:r>
        <w:rPr>
          <w:rFonts w:hint="eastAsia"/>
        </w:rPr>
        <w:t>（四）构筑社会保障全覆盖网络</w:t>
      </w:r>
      <w:bookmarkEnd w:id="89"/>
      <w:bookmarkEnd w:id="90"/>
    </w:p>
    <w:p>
      <w:pPr>
        <w:keepNext/>
        <w:keepLines/>
        <w:spacing w:before="260" w:after="260" w:line="416" w:lineRule="auto"/>
        <w:ind w:firstLine="643" w:firstLineChars="200"/>
        <w:outlineLvl w:val="2"/>
        <w:rPr>
          <w:rFonts w:ascii="仿宋_GB2312" w:hAnsi="华文仿宋" w:eastAsia="仿宋_GB2312" w:cs="黑体"/>
          <w:b/>
          <w:sz w:val="32"/>
          <w:szCs w:val="32"/>
        </w:rPr>
      </w:pPr>
      <w:r>
        <w:rPr>
          <w:rFonts w:hint="eastAsia" w:ascii="仿宋_GB2312" w:hAnsi="华文仿宋" w:eastAsia="仿宋_GB2312" w:cs="黑体"/>
          <w:b/>
          <w:sz w:val="32"/>
          <w:szCs w:val="32"/>
        </w:rPr>
        <w:t>1、</w:t>
      </w:r>
      <w:r>
        <w:rPr>
          <w:rFonts w:ascii="仿宋_GB2312" w:hAnsi="华文仿宋" w:eastAsia="仿宋_GB2312" w:cs="黑体"/>
          <w:b/>
          <w:sz w:val="32"/>
          <w:szCs w:val="32"/>
        </w:rPr>
        <w:t>完善新型社会救助体系</w:t>
      </w:r>
    </w:p>
    <w:p>
      <w:pPr>
        <w:rPr>
          <w:rFonts w:ascii="仿宋_GB2312" w:hAnsi="仿宋" w:eastAsia="仿宋_GB2312" w:cs="宋体"/>
          <w:color w:val="000000"/>
          <w:kern w:val="0"/>
          <w:sz w:val="32"/>
          <w:szCs w:val="32"/>
          <w:lang w:val="zh-CN"/>
        </w:rPr>
      </w:pPr>
      <w:r>
        <w:rPr>
          <w:rFonts w:ascii="仿宋_GB2312" w:hAnsi="仿宋" w:eastAsia="仿宋_GB2312" w:cs="宋体"/>
          <w:b/>
          <w:color w:val="000000"/>
          <w:kern w:val="0"/>
          <w:sz w:val="32"/>
          <w:szCs w:val="32"/>
          <w:lang w:val="zh-CN"/>
        </w:rPr>
        <w:t xml:space="preserve">    </w:t>
      </w:r>
      <w:r>
        <w:rPr>
          <w:rFonts w:hint="eastAsia" w:ascii="仿宋_GB2312" w:hAnsi="仿宋" w:eastAsia="仿宋_GB2312" w:cs="宋体"/>
          <w:b/>
          <w:color w:val="000000"/>
          <w:kern w:val="0"/>
          <w:sz w:val="32"/>
          <w:szCs w:val="32"/>
          <w:lang w:val="zh-CN"/>
        </w:rPr>
        <w:t>完善多元社会救助体系。</w:t>
      </w:r>
      <w:r>
        <w:rPr>
          <w:rFonts w:hint="eastAsia" w:ascii="仿宋_GB2312" w:hAnsi="仿宋" w:eastAsia="仿宋_GB2312" w:cs="宋体"/>
          <w:color w:val="000000"/>
          <w:kern w:val="0"/>
          <w:sz w:val="32"/>
          <w:szCs w:val="32"/>
          <w:lang w:val="zh-CN"/>
        </w:rPr>
        <w:t>健全以城乡最低生活保障制度为核心，以农村五保供养、失独家庭救助、自然灾害救助、医疗救助、流浪乞讨人员救助制度为主要内容，以临时救助制度为补充的社会救助体系。以扶老、助残、救孤、济困为重点，加强社会帮扶、社会优抚、临时救助、慈善互助工作，家庭、社区和福利机构相结合，建立社会救助、民间捐赠、慈善事业、志愿服务等多形式的社会救助机制和稳定、可靠的社会保障资金筹措机制。打造“阳光低保”工程，为困难群体提供最低生活保障和专项救助。逐步健全适应经济社会发展水平的新型社会福利体系。</w:t>
      </w:r>
    </w:p>
    <w:p>
      <w:pPr>
        <w:ind w:firstLine="643" w:firstLineChars="200"/>
        <w:rPr>
          <w:rFonts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rPr>
        <w:t>提高自然灾害应急救援能力。</w:t>
      </w:r>
      <w:r>
        <w:rPr>
          <w:rFonts w:hint="eastAsia" w:ascii="仿宋_GB2312" w:hAnsi="仿宋" w:eastAsia="仿宋_GB2312" w:cs="宋体"/>
          <w:color w:val="000000"/>
          <w:kern w:val="0"/>
          <w:sz w:val="32"/>
          <w:szCs w:val="32"/>
        </w:rPr>
        <w:t>落实救灾工作分级管理体制，健全灾害管理的应急机制、协调机制、社会动员机制、信息共享机制和监督检查机制，完善自然灾害应急预案体系，认真制定适合本地实际的救灾专项、单项预案，提高应对重大自然灾害的能力，确保重大自然灾害发生后</w:t>
      </w:r>
      <w:r>
        <w:rPr>
          <w:rFonts w:ascii="仿宋_GB2312" w:hAnsi="仿宋" w:eastAsia="仿宋_GB2312" w:cs="宋体"/>
          <w:color w:val="000000"/>
          <w:kern w:val="0"/>
          <w:sz w:val="32"/>
          <w:szCs w:val="32"/>
        </w:rPr>
        <w:t xml:space="preserve">24小时内，灾民的吃、穿、住、饮用水、医疗等救助措施到位。 </w:t>
      </w:r>
    </w:p>
    <w:p>
      <w:pPr>
        <w:ind w:firstLine="643" w:firstLineChars="200"/>
        <w:rPr>
          <w:rFonts w:ascii="仿宋_GB2312" w:hAnsi="仿宋" w:eastAsia="仿宋_GB2312" w:cs="宋体"/>
          <w:color w:val="000000"/>
          <w:kern w:val="0"/>
          <w:sz w:val="32"/>
          <w:szCs w:val="32"/>
        </w:rPr>
      </w:pPr>
      <w:r>
        <w:rPr>
          <w:rFonts w:hint="eastAsia" w:ascii="仿宋_GB2312" w:hAnsi="仿宋" w:eastAsia="仿宋_GB2312" w:cs="宋体"/>
          <w:b/>
          <w:color w:val="000000"/>
          <w:kern w:val="0"/>
          <w:sz w:val="32"/>
          <w:szCs w:val="32"/>
        </w:rPr>
        <w:t>加大住房保障力度。</w:t>
      </w:r>
      <w:r>
        <w:rPr>
          <w:rFonts w:hint="eastAsia" w:ascii="仿宋_GB2312" w:hAnsi="仿宋" w:eastAsia="仿宋_GB2312" w:cs="宋体"/>
          <w:color w:val="000000"/>
          <w:kern w:val="0"/>
          <w:sz w:val="32"/>
          <w:szCs w:val="32"/>
        </w:rPr>
        <w:t>坚持应保尽保的原则，加大保障性住房建设力度，实施保障性安居工程和人才住房保障工程，构建多层次住房保障供应体系，满足低收入群体以及引进高端人才的住房需求。推进老旧小区改造，推进棚户区改造，统筹安排好推进时序，做好群众安置工作。推进自住型商品房建设，满足中端收入人群改善型住房需求。着力改善农民群众居住条件，积极推进农宅抗震和节能改造工作。</w:t>
      </w:r>
    </w:p>
    <w:p>
      <w:pPr>
        <w:keepNext/>
        <w:keepLines/>
        <w:spacing w:before="260" w:after="260" w:line="416" w:lineRule="auto"/>
        <w:ind w:firstLine="643" w:firstLineChars="200"/>
        <w:outlineLvl w:val="2"/>
        <w:rPr>
          <w:rFonts w:ascii="仿宋_GB2312" w:hAnsi="仿宋" w:eastAsia="仿宋_GB2312" w:cs="宋体"/>
          <w:b/>
          <w:color w:val="000000"/>
          <w:kern w:val="0"/>
          <w:sz w:val="32"/>
          <w:szCs w:val="32"/>
        </w:rPr>
      </w:pPr>
      <w:r>
        <w:rPr>
          <w:rFonts w:ascii="仿宋_GB2312" w:hAnsi="华文仿宋" w:eastAsia="仿宋_GB2312" w:cs="黑体"/>
          <w:b/>
          <w:sz w:val="32"/>
          <w:szCs w:val="32"/>
        </w:rPr>
        <w:t>2、</w:t>
      </w:r>
      <w:r>
        <w:rPr>
          <w:rFonts w:hint="eastAsia" w:ascii="仿宋_GB2312" w:hAnsi="华文仿宋" w:eastAsia="仿宋_GB2312" w:cs="黑体"/>
          <w:b/>
          <w:sz w:val="32"/>
          <w:szCs w:val="32"/>
        </w:rPr>
        <w:t>增强养老服务能力</w:t>
      </w:r>
    </w:p>
    <w:p>
      <w:pPr>
        <w:ind w:firstLine="640" w:firstLineChars="200"/>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顺应人口老龄化趋势，优化调整养老机构布局，探索养老保障发展新模式，构建养老服务体系，实现更高水平“老有所养”。加大政府购买养老服务力度，以老年人基本养老服务需求为导向，重点安排与老年人生活照料、康复护理、就餐送餐等密切相关的服务需求。加强老年人健康干预、心理慰藉，提高老年人健康水平和生活质量。加大老年活动场所和便利化设施建设力度，增强养老设施服务能力，优先满足高龄、失能、失智、失独老人的需求。支持社会力量进入养老服务领域，发挥社会主体作用，健全多层次、多元化的养老服务体系。积极支持老年文体团队活动，丰富老年人文化生活。充分发挥好老年大学和乡村幸福院的服务功能。巩固完善家庭式自我养老、社区“居家养老”和机构养老等共同发展的养老服务格局。</w:t>
      </w:r>
    </w:p>
    <w:p>
      <w:pPr>
        <w:keepNext/>
        <w:keepLines/>
        <w:spacing w:before="260" w:after="260" w:line="416" w:lineRule="auto"/>
        <w:ind w:firstLine="643" w:firstLineChars="200"/>
        <w:outlineLvl w:val="2"/>
        <w:rPr>
          <w:rFonts w:ascii="仿宋_GB2312" w:hAnsi="华文仿宋" w:eastAsia="仿宋_GB2312" w:cs="黑体"/>
          <w:b/>
          <w:sz w:val="32"/>
          <w:szCs w:val="32"/>
        </w:rPr>
      </w:pPr>
      <w:r>
        <w:rPr>
          <w:rFonts w:ascii="仿宋_GB2312" w:hAnsi="华文仿宋" w:eastAsia="仿宋_GB2312" w:cs="黑体"/>
          <w:b/>
          <w:sz w:val="32"/>
          <w:szCs w:val="32"/>
        </w:rPr>
        <w:t>3</w:t>
      </w:r>
      <w:r>
        <w:rPr>
          <w:rFonts w:hint="eastAsia" w:ascii="仿宋_GB2312" w:hAnsi="华文仿宋" w:eastAsia="仿宋_GB2312" w:cs="黑体"/>
          <w:b/>
          <w:sz w:val="32"/>
          <w:szCs w:val="32"/>
        </w:rPr>
        <w:t>、全力推进扶贫开发</w:t>
      </w:r>
    </w:p>
    <w:p>
      <w:pPr>
        <w:widowControl/>
        <w:spacing w:line="360" w:lineRule="auto"/>
        <w:ind w:firstLine="643" w:firstLineChars="200"/>
        <w:jc w:val="left"/>
        <w:rPr>
          <w:rFonts w:ascii="仿宋_GB2312" w:hAnsi="仿宋" w:eastAsia="仿宋_GB2312" w:cs="宋体"/>
          <w:kern w:val="0"/>
          <w:sz w:val="32"/>
          <w:szCs w:val="32"/>
        </w:rPr>
      </w:pPr>
      <w:r>
        <w:rPr>
          <w:rFonts w:hint="eastAsia" w:ascii="仿宋_GB2312" w:hAnsi="华文仿宋" w:eastAsia="仿宋_GB2312" w:cs="黑体"/>
          <w:b/>
          <w:sz w:val="32"/>
          <w:szCs w:val="32"/>
        </w:rPr>
        <w:t>突出分类精准帮扶。</w:t>
      </w:r>
      <w:r>
        <w:rPr>
          <w:rFonts w:hint="eastAsia" w:ascii="仿宋_GB2312" w:hAnsi="仿宋" w:eastAsia="仿宋_GB2312" w:cs="宋体"/>
          <w:kern w:val="0"/>
          <w:sz w:val="32"/>
          <w:szCs w:val="32"/>
        </w:rPr>
        <w:t>精细了解各村庄的特色资源和数量，帮助贫困家庭找准特色经济发展之路。分类扶持贫困家庭，对有劳动能力的贫困人口支持发展特色产业和转移就业，对丧失劳动能力的实施兜底性保障政策，对因病致贫的提供医疗救助保障。实行低保政策和扶贫政策衔接，对贫困人口应保尽保。</w:t>
      </w:r>
    </w:p>
    <w:p>
      <w:pPr>
        <w:widowControl/>
        <w:spacing w:line="360" w:lineRule="auto"/>
        <w:ind w:firstLine="643" w:firstLineChars="200"/>
        <w:rPr>
          <w:rFonts w:ascii="仿宋_GB2312" w:hAnsi="仿宋" w:eastAsia="仿宋_GB2312" w:cs="宋体"/>
          <w:color w:val="000000"/>
          <w:kern w:val="0"/>
          <w:sz w:val="32"/>
          <w:szCs w:val="32"/>
        </w:rPr>
      </w:pPr>
      <w:r>
        <w:rPr>
          <w:rFonts w:hint="eastAsia" w:ascii="仿宋_GB2312" w:hAnsi="华文仿宋" w:eastAsia="仿宋_GB2312" w:cs="黑体"/>
          <w:b/>
          <w:sz w:val="32"/>
          <w:szCs w:val="32"/>
        </w:rPr>
        <w:t>实施精准扶贫工程。</w:t>
      </w:r>
      <w:r>
        <w:rPr>
          <w:rFonts w:hint="eastAsia" w:ascii="仿宋_GB2312" w:hAnsi="仿宋" w:eastAsia="仿宋_GB2312" w:cs="宋体"/>
          <w:color w:val="000000"/>
          <w:kern w:val="0"/>
          <w:sz w:val="32"/>
          <w:szCs w:val="32"/>
        </w:rPr>
        <w:t>实施精准扶贫、精准脱贫，因人因地施策，提高扶贫实效。推进干部驻村工程、旅游扶贫工程、扶贫小额信贷工程、龙头企业带动工程。扶贫政策适度向农村贫困家庭倾斜，支持贫困家庭获得更多补助，促使其加快融入乡村旅游产业和现代生态农业。</w:t>
      </w:r>
    </w:p>
    <w:p>
      <w:pPr>
        <w:ind w:firstLine="643" w:firstLineChars="200"/>
        <w:rPr>
          <w:rFonts w:ascii="仿宋_GB2312" w:hAnsi="仿宋" w:eastAsia="仿宋_GB2312" w:cs="宋体"/>
          <w:color w:val="000000"/>
          <w:kern w:val="0"/>
          <w:sz w:val="32"/>
          <w:szCs w:val="32"/>
        </w:rPr>
      </w:pPr>
      <w:r>
        <w:rPr>
          <w:rFonts w:hint="eastAsia" w:ascii="仿宋_GB2312" w:hAnsi="华文仿宋" w:eastAsia="仿宋_GB2312" w:cs="黑体"/>
          <w:b/>
          <w:sz w:val="32"/>
          <w:szCs w:val="32"/>
        </w:rPr>
        <w:t>强化产业扶贫。</w:t>
      </w:r>
      <w:r>
        <w:rPr>
          <w:rFonts w:hint="eastAsia" w:ascii="仿宋_GB2312" w:hAnsi="仿宋" w:eastAsia="仿宋_GB2312" w:cs="宋体"/>
          <w:color w:val="000000"/>
          <w:kern w:val="0"/>
          <w:sz w:val="32"/>
          <w:szCs w:val="32"/>
        </w:rPr>
        <w:t>以西瓜、蔬菜、</w:t>
      </w:r>
      <w:r>
        <w:rPr>
          <w:rFonts w:ascii="仿宋_GB2312" w:hAnsi="仿宋" w:eastAsia="仿宋_GB2312" w:cs="宋体"/>
          <w:color w:val="000000"/>
          <w:kern w:val="0"/>
          <w:sz w:val="32"/>
          <w:szCs w:val="32"/>
        </w:rPr>
        <w:t>林果</w:t>
      </w:r>
      <w:r>
        <w:rPr>
          <w:rFonts w:hint="eastAsia" w:ascii="仿宋_GB2312" w:hAnsi="仿宋" w:eastAsia="仿宋_GB2312" w:cs="宋体"/>
          <w:color w:val="000000"/>
          <w:kern w:val="0"/>
          <w:sz w:val="32"/>
          <w:szCs w:val="32"/>
        </w:rPr>
        <w:t>等镇域特色优势产业为重点，积极探索创建各种产业扶贫新模式。鼓励企业、合作社通过利益联结机制示范带动农户广泛参与产业发展，不断完善</w:t>
      </w:r>
      <w:r>
        <w:rPr>
          <w:rFonts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rPr>
        <w:t>政府</w:t>
      </w:r>
      <w:r>
        <w:rPr>
          <w:rFonts w:ascii="仿宋_GB2312" w:hAnsi="仿宋" w:eastAsia="仿宋_GB2312" w:cs="宋体"/>
          <w:color w:val="000000"/>
          <w:kern w:val="0"/>
          <w:sz w:val="32"/>
          <w:szCs w:val="32"/>
        </w:rPr>
        <w:t>+公司+农户”</w:t>
      </w:r>
      <w:r>
        <w:rPr>
          <w:rFonts w:hint="eastAsia" w:ascii="仿宋_GB2312" w:hAnsi="仿宋" w:eastAsia="仿宋_GB2312" w:cs="宋体"/>
          <w:color w:val="000000"/>
          <w:kern w:val="0"/>
          <w:sz w:val="32"/>
          <w:szCs w:val="32"/>
        </w:rPr>
        <w:t>、</w:t>
      </w:r>
      <w:r>
        <w:rPr>
          <w:rFonts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rPr>
        <w:t>公司</w:t>
      </w:r>
      <w:r>
        <w:rPr>
          <w:rFonts w:ascii="仿宋_GB2312" w:hAnsi="仿宋" w:eastAsia="仿宋_GB2312" w:cs="宋体"/>
          <w:color w:val="000000"/>
          <w:kern w:val="0"/>
          <w:sz w:val="32"/>
          <w:szCs w:val="32"/>
        </w:rPr>
        <w:t>+基地+农户”</w:t>
      </w:r>
      <w:r>
        <w:rPr>
          <w:rFonts w:hint="eastAsia" w:ascii="仿宋_GB2312" w:hAnsi="仿宋" w:eastAsia="仿宋_GB2312" w:cs="宋体"/>
          <w:color w:val="000000"/>
          <w:kern w:val="0"/>
          <w:sz w:val="32"/>
          <w:szCs w:val="32"/>
        </w:rPr>
        <w:t>、</w:t>
      </w:r>
      <w:r>
        <w:rPr>
          <w:rFonts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rPr>
        <w:t>公司</w:t>
      </w:r>
      <w:r>
        <w:rPr>
          <w:rFonts w:ascii="仿宋_GB2312" w:hAnsi="仿宋" w:eastAsia="仿宋_GB2312" w:cs="宋体"/>
          <w:color w:val="000000"/>
          <w:kern w:val="0"/>
          <w:sz w:val="32"/>
          <w:szCs w:val="32"/>
        </w:rPr>
        <w:t>+农户”</w:t>
      </w:r>
      <w:r>
        <w:rPr>
          <w:rFonts w:hint="eastAsia" w:ascii="仿宋_GB2312" w:hAnsi="仿宋" w:eastAsia="仿宋_GB2312" w:cs="宋体"/>
          <w:color w:val="000000"/>
          <w:kern w:val="0"/>
          <w:sz w:val="32"/>
          <w:szCs w:val="32"/>
        </w:rPr>
        <w:t>、</w:t>
      </w:r>
      <w:r>
        <w:rPr>
          <w:rFonts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rPr>
        <w:t>合作经济组织</w:t>
      </w:r>
      <w:r>
        <w:rPr>
          <w:rFonts w:ascii="仿宋_GB2312" w:hAnsi="仿宋" w:eastAsia="仿宋_GB2312" w:cs="宋体"/>
          <w:color w:val="000000"/>
          <w:kern w:val="0"/>
          <w:sz w:val="32"/>
          <w:szCs w:val="32"/>
        </w:rPr>
        <w:t>+公司+农户”</w:t>
      </w:r>
      <w:r>
        <w:rPr>
          <w:rFonts w:hint="eastAsia" w:ascii="仿宋_GB2312" w:hAnsi="仿宋" w:eastAsia="仿宋_GB2312" w:cs="宋体"/>
          <w:color w:val="000000"/>
          <w:kern w:val="0"/>
          <w:sz w:val="32"/>
          <w:szCs w:val="32"/>
        </w:rPr>
        <w:t>等模式，促进产业化经营与扶贫开发有效对接，积极引导贫困农户进入产业链条。</w:t>
      </w:r>
    </w:p>
    <w:p>
      <w:pPr>
        <w:pStyle w:val="2"/>
        <w:jc w:val="left"/>
        <w:rPr>
          <w:sz w:val="36"/>
          <w:szCs w:val="36"/>
        </w:rPr>
      </w:pPr>
      <w:bookmarkStart w:id="91" w:name="_Toc460947529"/>
      <w:bookmarkStart w:id="92" w:name="_Toc444603350"/>
      <w:r>
        <w:rPr>
          <w:rFonts w:hint="eastAsia"/>
          <w:sz w:val="36"/>
          <w:szCs w:val="36"/>
        </w:rPr>
        <w:t>五、提升社会治理能力</w:t>
      </w:r>
      <w:bookmarkEnd w:id="91"/>
      <w:bookmarkEnd w:id="92"/>
    </w:p>
    <w:p>
      <w:pPr>
        <w:pStyle w:val="3"/>
        <w:rPr>
          <w:rFonts w:ascii="华文中宋" w:hAnsi="华文中宋"/>
          <w:sz w:val="28"/>
          <w:szCs w:val="28"/>
        </w:rPr>
      </w:pPr>
      <w:bookmarkStart w:id="93" w:name="_Toc460947530"/>
      <w:bookmarkStart w:id="94" w:name="_Toc444603351"/>
      <w:r>
        <w:rPr>
          <w:rFonts w:hint="eastAsia"/>
        </w:rPr>
        <w:t>（一）加强法治建设</w:t>
      </w:r>
      <w:bookmarkEnd w:id="93"/>
      <w:bookmarkEnd w:id="94"/>
    </w:p>
    <w:p>
      <w:pPr>
        <w:spacing w:line="360" w:lineRule="auto"/>
        <w:ind w:firstLine="640" w:firstLineChars="200"/>
        <w:rPr>
          <w:rFonts w:ascii="仿宋" w:hAnsi="仿宋"/>
          <w:sz w:val="32"/>
          <w:szCs w:val="32"/>
        </w:rPr>
      </w:pPr>
      <w:r>
        <w:rPr>
          <w:rFonts w:hint="eastAsia" w:ascii="仿宋_GB2312" w:hAnsi="仿宋" w:eastAsia="仿宋_GB2312"/>
          <w:sz w:val="32"/>
          <w:szCs w:val="32"/>
        </w:rPr>
        <w:t>推进依法决策，建立行政机关内部重大决策合法性审查制度，建立重大决策终身责任追究制度及责任倒查机制。</w:t>
      </w:r>
      <w:r>
        <w:rPr>
          <w:rFonts w:hint="eastAsia" w:ascii="仿宋_GB2312" w:eastAsia="仿宋_GB2312"/>
          <w:sz w:val="32"/>
          <w:szCs w:val="32"/>
        </w:rPr>
        <w:t>推行综合执法，</w:t>
      </w:r>
      <w:r>
        <w:rPr>
          <w:rFonts w:hint="eastAsia" w:ascii="仿宋_GB2312" w:hAnsi="仿宋" w:eastAsia="仿宋_GB2312"/>
          <w:sz w:val="32"/>
          <w:szCs w:val="32"/>
        </w:rPr>
        <w:t>加强重点领域执法，推进执法规范化建设，全面落实行政执法责任制。全面推行负面清单制度，进一步</w:t>
      </w:r>
      <w:r>
        <w:rPr>
          <w:rFonts w:hint="eastAsia" w:ascii="仿宋_GB2312" w:hAnsi="仿宋" w:eastAsia="仿宋_GB2312"/>
          <w:sz w:val="32"/>
          <w:szCs w:val="32"/>
          <w:lang w:eastAsia="zh-CN"/>
        </w:rPr>
        <w:t>简政放权</w:t>
      </w:r>
      <w:r>
        <w:rPr>
          <w:rFonts w:hint="eastAsia" w:ascii="仿宋_GB2312" w:hAnsi="仿宋" w:eastAsia="仿宋_GB2312"/>
          <w:sz w:val="32"/>
          <w:szCs w:val="32"/>
        </w:rPr>
        <w:t>，激发市场活力。强化权力监督，</w:t>
      </w:r>
      <w:r>
        <w:rPr>
          <w:rFonts w:hint="eastAsia" w:ascii="仿宋_GB2312" w:eastAsia="仿宋_GB2312"/>
          <w:sz w:val="32"/>
          <w:szCs w:val="32"/>
        </w:rPr>
        <w:t>完善行政执法监督体系</w:t>
      </w:r>
      <w:r>
        <w:rPr>
          <w:rFonts w:hint="eastAsia" w:ascii="仿宋_GB2312" w:hAnsi="仿宋" w:eastAsia="仿宋_GB2312"/>
          <w:sz w:val="32"/>
          <w:szCs w:val="32"/>
        </w:rPr>
        <w:t>。</w:t>
      </w:r>
      <w:r>
        <w:rPr>
          <w:rFonts w:hint="eastAsia" w:ascii="仿宋_GB2312" w:eastAsia="仿宋_GB2312"/>
          <w:sz w:val="32"/>
          <w:szCs w:val="32"/>
        </w:rPr>
        <w:t>完善政府信息公开制度，全面推进行政权力公开透明运行。严格公正司法，</w:t>
      </w:r>
      <w:r>
        <w:rPr>
          <w:rFonts w:hint="eastAsia" w:ascii="仿宋_GB2312" w:hAnsi="仿宋" w:eastAsia="仿宋_GB2312"/>
          <w:sz w:val="32"/>
          <w:szCs w:val="32"/>
        </w:rPr>
        <w:t>落实办案质量终身负责制和错案责任倒查问责制，</w:t>
      </w:r>
      <w:r>
        <w:rPr>
          <w:rFonts w:hint="eastAsia" w:ascii="仿宋_GB2312" w:eastAsia="仿宋_GB2312"/>
          <w:sz w:val="32"/>
          <w:szCs w:val="32"/>
        </w:rPr>
        <w:t>落实终审和诉讼终结制度，提高司法公信力。</w:t>
      </w:r>
    </w:p>
    <w:p>
      <w:pPr>
        <w:spacing w:line="360" w:lineRule="auto"/>
        <w:ind w:firstLine="645"/>
        <w:rPr>
          <w:rFonts w:ascii="仿宋_GB2312" w:eastAsia="仿宋_GB2312"/>
          <w:sz w:val="32"/>
          <w:szCs w:val="32"/>
        </w:rPr>
      </w:pPr>
      <w:r>
        <w:rPr>
          <w:rFonts w:hint="eastAsia" w:ascii="仿宋_GB2312" w:eastAsia="仿宋_GB2312"/>
          <w:sz w:val="32"/>
          <w:szCs w:val="32"/>
        </w:rPr>
        <w:t>加强法治精神、法治意识、法治观念的学习与实践，</w:t>
      </w:r>
      <w:r>
        <w:rPr>
          <w:rFonts w:hint="eastAsia" w:ascii="仿宋_GB2312" w:hAnsi="仿宋" w:eastAsia="仿宋_GB2312"/>
          <w:sz w:val="32"/>
          <w:szCs w:val="32"/>
        </w:rPr>
        <w:t>增强全社会厉行法治的积极性和主动性，建设完备的法律服务体系，完善法律援助制度，健全司法救助体系。</w:t>
      </w:r>
      <w:r>
        <w:rPr>
          <w:rFonts w:hint="eastAsia" w:ascii="仿宋_GB2312" w:eastAsia="仿宋_GB2312"/>
          <w:sz w:val="32"/>
          <w:szCs w:val="32"/>
        </w:rPr>
        <w:t>积极贯彻落实四中全会精神，推进多层次多领域依法治理，完善法治社会的治理体系。</w:t>
      </w:r>
    </w:p>
    <w:p>
      <w:pPr>
        <w:pStyle w:val="3"/>
      </w:pPr>
      <w:bookmarkStart w:id="95" w:name="_Toc460947531"/>
      <w:bookmarkStart w:id="96" w:name="_Toc444603352"/>
      <w:r>
        <w:rPr>
          <w:rFonts w:hint="eastAsia"/>
        </w:rPr>
        <w:t>（二）完善网格化管理</w:t>
      </w:r>
      <w:bookmarkEnd w:id="95"/>
      <w:bookmarkEnd w:id="96"/>
      <w:r>
        <w:rPr>
          <w:rFonts w:hint="eastAsia"/>
        </w:rPr>
        <w:t xml:space="preserve">   </w:t>
      </w:r>
    </w:p>
    <w:p>
      <w:pPr>
        <w:spacing w:line="360" w:lineRule="auto"/>
        <w:rPr>
          <w:rFonts w:ascii="仿宋_GB2312" w:hAnsi="仿宋" w:eastAsia="仿宋_GB2312"/>
          <w:sz w:val="32"/>
          <w:szCs w:val="32"/>
        </w:rPr>
      </w:pPr>
      <w:r>
        <w:rPr>
          <w:rFonts w:hint="eastAsia" w:ascii="仿宋_GB2312" w:hAnsi="仿宋" w:eastAsia="仿宋_GB2312"/>
          <w:sz w:val="32"/>
          <w:szCs w:val="32"/>
        </w:rPr>
        <w:t xml:space="preserve">    依托“国家级智慧城市试点城市”建设，加强网格化管理，</w:t>
      </w:r>
      <w:r>
        <w:rPr>
          <w:rFonts w:hint="eastAsia" w:ascii="仿宋_GB2312" w:hAnsi="黑体" w:eastAsia="仿宋_GB2312"/>
          <w:sz w:val="32"/>
          <w:szCs w:val="32"/>
        </w:rPr>
        <w:t>运行镇、片、村、组四级平台，实现定人、定岗、定责的“无缝”管理，构建“大综治”服务格局。推进“智慧城管”工程，强化城市管理综合指挥系统，充分发挥监管、网格、协调、应急作用。推进预防煤气中毒、交通安全、重点人群和重点部位管控、铁路护路、护城河、禁毒、反邪教、应急处突等基础治理工作与网格化管理的结合，提升群众安全感，确保全镇安全稳定的社会环境。</w:t>
      </w:r>
      <w:r>
        <w:rPr>
          <w:rFonts w:ascii="仿宋_GB2312" w:hAnsi="黑体" w:eastAsia="仿宋_GB2312"/>
          <w:sz w:val="32"/>
          <w:szCs w:val="32"/>
        </w:rPr>
        <w:t>充分整合全镇现有各类社会管理力量，</w:t>
      </w:r>
      <w:r>
        <w:rPr>
          <w:rFonts w:hint="eastAsia" w:ascii="仿宋_GB2312" w:hAnsi="黑体" w:eastAsia="仿宋_GB2312"/>
          <w:sz w:val="32"/>
          <w:szCs w:val="32"/>
        </w:rPr>
        <w:t>专兼职</w:t>
      </w:r>
      <w:r>
        <w:rPr>
          <w:rFonts w:ascii="仿宋_GB2312" w:hAnsi="黑体" w:eastAsia="仿宋_GB2312"/>
          <w:sz w:val="32"/>
          <w:szCs w:val="32"/>
        </w:rPr>
        <w:t>结合，</w:t>
      </w:r>
      <w:r>
        <w:rPr>
          <w:rFonts w:hint="eastAsia" w:ascii="仿宋_GB2312" w:hAnsi="仿宋" w:eastAsia="仿宋_GB2312"/>
          <w:sz w:val="32"/>
          <w:szCs w:val="32"/>
        </w:rPr>
        <w:t>加大巡查管控力度</w:t>
      </w:r>
      <w:r>
        <w:rPr>
          <w:rFonts w:ascii="仿宋_GB2312" w:hAnsi="仿宋" w:eastAsia="仿宋_GB2312"/>
          <w:sz w:val="32"/>
          <w:szCs w:val="32"/>
        </w:rPr>
        <w:t>。</w:t>
      </w:r>
    </w:p>
    <w:p>
      <w:pPr>
        <w:pStyle w:val="3"/>
      </w:pPr>
      <w:bookmarkStart w:id="97" w:name="_Toc444603353"/>
      <w:bookmarkStart w:id="98" w:name="_Toc460947532"/>
      <w:r>
        <w:rPr>
          <w:rFonts w:hint="eastAsia"/>
        </w:rPr>
        <w:t>（三）强化社会精细化管理</w:t>
      </w:r>
      <w:bookmarkEnd w:id="97"/>
      <w:bookmarkEnd w:id="98"/>
    </w:p>
    <w:p>
      <w:pPr>
        <w:keepNext/>
        <w:keepLines/>
        <w:spacing w:before="260" w:after="260" w:line="416" w:lineRule="auto"/>
        <w:ind w:firstLine="643" w:firstLineChars="200"/>
        <w:outlineLvl w:val="2"/>
        <w:rPr>
          <w:rFonts w:ascii="仿宋_GB2312" w:hAnsi="华文仿宋" w:eastAsia="仿宋_GB2312" w:cs="黑体"/>
          <w:b/>
          <w:sz w:val="32"/>
          <w:szCs w:val="32"/>
        </w:rPr>
      </w:pPr>
      <w:r>
        <w:rPr>
          <w:rFonts w:hint="eastAsia" w:ascii="仿宋_GB2312" w:hAnsi="华文仿宋" w:eastAsia="仿宋_GB2312" w:cs="黑体"/>
          <w:b/>
          <w:sz w:val="32"/>
          <w:szCs w:val="32"/>
        </w:rPr>
        <w:t>1、有效推进人口管控</w:t>
      </w:r>
    </w:p>
    <w:p>
      <w:pPr>
        <w:rPr>
          <w:rFonts w:ascii="仿宋_GB2312" w:eastAsia="仿宋_GB2312"/>
          <w:sz w:val="32"/>
          <w:szCs w:val="32"/>
        </w:rPr>
      </w:pPr>
      <w:r>
        <w:rPr>
          <w:rFonts w:hint="eastAsia" w:ascii="仿宋_GB2312" w:hAnsi="仿宋" w:eastAsia="仿宋_GB2312"/>
          <w:b/>
          <w:sz w:val="32"/>
          <w:szCs w:val="32"/>
        </w:rPr>
        <w:t xml:space="preserve">    加大外来人口管控力度。</w:t>
      </w:r>
      <w:r>
        <w:rPr>
          <w:rFonts w:hint="eastAsia" w:ascii="仿宋_GB2312" w:eastAsia="仿宋_GB2312"/>
          <w:sz w:val="32"/>
          <w:szCs w:val="32"/>
        </w:rPr>
        <w:t>发挥便民服务“三个一”工程、房屋租赁公司及农村土地储备中心作用，深入推进“以岗促控、以章促控、以房促控、以地促控、以奖促控、以典型促控”的“六促”管理模式。推进田间居住点外来人口清理及东南次等人口倒挂村清理整治工作，实现外来人口有序流动。加大“以业控人”、“以房控人”、“以资源控人”等“九控”措施落实力度，做到精准调控、全面调控。将“管人”与“管业”、“管地”等有机结合起来，重点发挥产业对人口规模控制的源头作用。健全“第一时间发现、出租房屋申报、实时动态监测、部门联合共管”工作机制，确保完成削减流动人口目标。</w:t>
      </w:r>
    </w:p>
    <w:p>
      <w:pPr>
        <w:rPr>
          <w:rFonts w:ascii="仿宋_GB2312" w:eastAsia="仿宋_GB2312"/>
          <w:sz w:val="32"/>
          <w:szCs w:val="32"/>
        </w:rPr>
      </w:pPr>
      <w:r>
        <w:rPr>
          <w:rFonts w:ascii="仿宋_GB2312" w:eastAsia="仿宋_GB2312"/>
          <w:sz w:val="32"/>
          <w:szCs w:val="32"/>
        </w:rPr>
        <w:t xml:space="preserve">   </w:t>
      </w:r>
      <w:r>
        <w:rPr>
          <w:rFonts w:ascii="仿宋_GB2312" w:eastAsia="仿宋_GB2312"/>
          <w:b/>
          <w:sz w:val="32"/>
          <w:szCs w:val="32"/>
        </w:rPr>
        <w:t xml:space="preserve"> </w:t>
      </w:r>
      <w:r>
        <w:rPr>
          <w:rFonts w:hint="eastAsia" w:ascii="仿宋_GB2312" w:hAnsi="仿宋" w:eastAsia="仿宋_GB2312"/>
          <w:b/>
          <w:sz w:val="32"/>
          <w:szCs w:val="32"/>
        </w:rPr>
        <w:t>完善人口监管体系。</w:t>
      </w:r>
      <w:r>
        <w:rPr>
          <w:rFonts w:hint="eastAsia" w:ascii="仿宋_GB2312" w:eastAsia="仿宋_GB2312"/>
          <w:sz w:val="32"/>
          <w:szCs w:val="32"/>
        </w:rPr>
        <w:t>建立人口动态监测系统，运用科技手段，对全镇人口流动进行动态监测、实时预警和形势分析，科学研判新机场项目等重大工程建设导致的人口流动新特点新趋势，制定促进人口有序流动和合理分布的有效措施。强化人口管控的属地责任，推进各村开展人口规模、结构、分布、素质等综合性评价，制定人口调控规划与评估机制，发挥村民自治调控作用，强化流管办督考职能。落实国家、北京市关于居住证制度管理规定，提高流动人口管理精细化水平。</w:t>
      </w:r>
      <w:r>
        <w:rPr>
          <w:rFonts w:ascii="仿宋_GB2312" w:eastAsia="仿宋_GB2312"/>
          <w:sz w:val="32"/>
          <w:szCs w:val="32"/>
        </w:rPr>
        <w:t>利用好人口</w:t>
      </w:r>
      <w:r>
        <w:rPr>
          <w:rFonts w:hint="eastAsia" w:ascii="仿宋_GB2312" w:eastAsia="仿宋_GB2312"/>
          <w:sz w:val="32"/>
          <w:szCs w:val="32"/>
        </w:rPr>
        <w:t>居住证</w:t>
      </w:r>
      <w:r>
        <w:rPr>
          <w:rFonts w:ascii="仿宋_GB2312" w:eastAsia="仿宋_GB2312"/>
          <w:sz w:val="32"/>
          <w:szCs w:val="32"/>
        </w:rPr>
        <w:t>制度，</w:t>
      </w:r>
      <w:r>
        <w:rPr>
          <w:rFonts w:hint="eastAsia" w:ascii="仿宋_GB2312" w:eastAsia="仿宋_GB2312"/>
          <w:sz w:val="32"/>
          <w:szCs w:val="32"/>
        </w:rPr>
        <w:t>作为</w:t>
      </w:r>
      <w:r>
        <w:rPr>
          <w:rFonts w:ascii="仿宋_GB2312" w:eastAsia="仿宋_GB2312"/>
          <w:sz w:val="32"/>
          <w:szCs w:val="32"/>
        </w:rPr>
        <w:t>人口监管的重要手段。</w:t>
      </w:r>
      <w:r>
        <w:rPr>
          <w:rFonts w:hint="eastAsia" w:ascii="仿宋_GB2312" w:eastAsia="仿宋_GB2312"/>
          <w:sz w:val="32"/>
          <w:szCs w:val="32"/>
        </w:rPr>
        <w:t>建立健全</w:t>
      </w:r>
      <w:r>
        <w:rPr>
          <w:rFonts w:ascii="仿宋_GB2312" w:eastAsia="仿宋_GB2312"/>
          <w:sz w:val="32"/>
          <w:szCs w:val="32"/>
        </w:rPr>
        <w:t>居委会</w:t>
      </w:r>
      <w:r>
        <w:rPr>
          <w:rFonts w:hint="eastAsia" w:ascii="仿宋_GB2312" w:eastAsia="仿宋_GB2312"/>
          <w:sz w:val="32"/>
          <w:szCs w:val="32"/>
        </w:rPr>
        <w:t>并</w:t>
      </w:r>
      <w:r>
        <w:rPr>
          <w:rFonts w:ascii="仿宋_GB2312" w:eastAsia="仿宋_GB2312"/>
          <w:sz w:val="32"/>
          <w:szCs w:val="32"/>
        </w:rPr>
        <w:t>发挥社区物业作用，</w:t>
      </w:r>
      <w:r>
        <w:rPr>
          <w:rFonts w:hint="eastAsia" w:ascii="仿宋_GB2312" w:eastAsia="仿宋_GB2312"/>
          <w:sz w:val="32"/>
          <w:szCs w:val="32"/>
        </w:rPr>
        <w:t>对镇区</w:t>
      </w:r>
      <w:r>
        <w:rPr>
          <w:rFonts w:ascii="仿宋_GB2312" w:eastAsia="仿宋_GB2312"/>
          <w:sz w:val="32"/>
          <w:szCs w:val="32"/>
        </w:rPr>
        <w:t>居住的本</w:t>
      </w:r>
      <w:r>
        <w:rPr>
          <w:rFonts w:hint="eastAsia" w:ascii="仿宋_GB2312" w:eastAsia="仿宋_GB2312"/>
          <w:sz w:val="32"/>
          <w:szCs w:val="32"/>
        </w:rPr>
        <w:t>市（非</w:t>
      </w:r>
      <w:r>
        <w:rPr>
          <w:rFonts w:ascii="仿宋_GB2312" w:eastAsia="仿宋_GB2312"/>
          <w:sz w:val="32"/>
          <w:szCs w:val="32"/>
        </w:rPr>
        <w:t>本</w:t>
      </w:r>
      <w:r>
        <w:rPr>
          <w:rFonts w:hint="eastAsia" w:ascii="仿宋_GB2312" w:eastAsia="仿宋_GB2312"/>
          <w:sz w:val="32"/>
          <w:szCs w:val="32"/>
        </w:rPr>
        <w:t>镇</w:t>
      </w:r>
      <w:r>
        <w:rPr>
          <w:rFonts w:ascii="仿宋_GB2312" w:eastAsia="仿宋_GB2312"/>
          <w:sz w:val="32"/>
          <w:szCs w:val="32"/>
        </w:rPr>
        <w:t>）</w:t>
      </w:r>
      <w:r>
        <w:rPr>
          <w:rFonts w:hint="eastAsia" w:ascii="仿宋_GB2312" w:eastAsia="仿宋_GB2312"/>
          <w:sz w:val="32"/>
          <w:szCs w:val="32"/>
        </w:rPr>
        <w:t>人口</w:t>
      </w:r>
      <w:r>
        <w:rPr>
          <w:rFonts w:ascii="仿宋_GB2312" w:eastAsia="仿宋_GB2312"/>
          <w:sz w:val="32"/>
          <w:szCs w:val="32"/>
        </w:rPr>
        <w:t>进行有序监管。</w:t>
      </w:r>
    </w:p>
    <w:p>
      <w:pPr>
        <w:keepNext/>
        <w:keepLines/>
        <w:spacing w:before="260" w:after="260" w:line="416" w:lineRule="auto"/>
        <w:ind w:firstLine="643" w:firstLineChars="200"/>
        <w:outlineLvl w:val="2"/>
        <w:rPr>
          <w:rFonts w:ascii="仿宋_GB2312" w:hAnsi="华文仿宋" w:eastAsia="仿宋_GB2312" w:cs="黑体"/>
          <w:b/>
          <w:sz w:val="32"/>
          <w:szCs w:val="32"/>
        </w:rPr>
      </w:pPr>
      <w:r>
        <w:rPr>
          <w:rFonts w:ascii="仿宋_GB2312" w:hAnsi="华文仿宋" w:eastAsia="仿宋_GB2312" w:cs="黑体"/>
          <w:b/>
          <w:sz w:val="32"/>
          <w:szCs w:val="32"/>
        </w:rPr>
        <w:t>2、推广安全生产</w:t>
      </w:r>
    </w:p>
    <w:p>
      <w:pPr>
        <w:rPr>
          <w:rFonts w:ascii="仿宋_GB2312" w:eastAsia="仿宋_GB2312"/>
          <w:sz w:val="32"/>
          <w:szCs w:val="32"/>
        </w:rPr>
      </w:pPr>
      <w:r>
        <w:rPr>
          <w:rFonts w:ascii="仿宋_GB2312" w:hAnsi="仿宋" w:eastAsia="仿宋_GB2312" w:cs="Arial"/>
          <w:b/>
          <w:sz w:val="32"/>
          <w:szCs w:val="32"/>
          <w:shd w:val="clear" w:color="auto" w:fill="FFFFFF"/>
        </w:rPr>
        <w:t xml:space="preserve">    </w:t>
      </w:r>
      <w:r>
        <w:rPr>
          <w:rFonts w:hint="eastAsia" w:ascii="仿宋_GB2312" w:hAnsi="仿宋" w:eastAsia="仿宋_GB2312"/>
          <w:b/>
          <w:sz w:val="32"/>
          <w:szCs w:val="32"/>
        </w:rPr>
        <w:t>加强安全生产监管和排查治理。</w:t>
      </w:r>
      <w:r>
        <w:rPr>
          <w:rFonts w:hint="eastAsia" w:ascii="仿宋_GB2312" w:eastAsia="仿宋_GB2312"/>
          <w:sz w:val="32"/>
          <w:szCs w:val="32"/>
        </w:rPr>
        <w:t>大力推进庞各庄镇“全国安全社区”建设工程，完善“智汇安全”平台。健全安全生产监管体系，强化企业主体责任，研究探索“企业主体自查、政府例行检查、专家专业抽查”的安全管理机制，加强重点行业和领域的安全隐患排查治理。完善重大危险源监控与重大事故隐患排查治理制度，建立健全企业重大危险源安全监控系统，有效遏制重特大安全事故。加强建材、家具、食品等行业领域企业安全基础管理，综合监管促进建筑施工、道路交通、消防、电力等行业和领域安全生产工作，建立淘汰危及安全生产的落后技术、工艺和装备的制度。全面做好文化娱乐、宾馆酒店等人员密集场所和大型群众活动的安全保卫工作。</w:t>
      </w:r>
    </w:p>
    <w:p>
      <w:pPr>
        <w:widowControl/>
        <w:ind w:firstLine="555"/>
        <w:jc w:val="left"/>
        <w:rPr>
          <w:rFonts w:ascii="仿宋_GB2312" w:eastAsia="仿宋_GB2312"/>
          <w:sz w:val="32"/>
          <w:szCs w:val="32"/>
        </w:rPr>
      </w:pPr>
      <w:r>
        <w:rPr>
          <w:rFonts w:hint="eastAsia" w:ascii="仿宋_GB2312" w:hAnsi="仿宋" w:eastAsia="仿宋_GB2312"/>
          <w:b/>
          <w:sz w:val="32"/>
          <w:szCs w:val="32"/>
        </w:rPr>
        <w:t>建立健全安全生产应急机制。</w:t>
      </w:r>
      <w:r>
        <w:rPr>
          <w:rFonts w:hint="eastAsia" w:ascii="仿宋_GB2312" w:eastAsia="仿宋_GB2312"/>
          <w:sz w:val="32"/>
          <w:szCs w:val="32"/>
        </w:rPr>
        <w:t>完善庞各庄镇安全生产应急预案体系，强化安全事故预报预警和应急协调机制，实现政府部门与企业应急预案有效衔接。加强先进应急救援技术装备的应用，提升应急救助能力。完善应急预案演练制度，规范应急预案演练，提高应急管理和应急救援工作效率。依托有关企业、单位储备必要的物资装备和生产能力，建立安全生产应急物资储备制度和调运机制。</w:t>
      </w:r>
    </w:p>
    <w:p>
      <w:pPr>
        <w:keepNext/>
        <w:keepLines/>
        <w:spacing w:before="260" w:after="260" w:line="416" w:lineRule="auto"/>
        <w:ind w:firstLine="643" w:firstLineChars="200"/>
        <w:outlineLvl w:val="2"/>
        <w:rPr>
          <w:rFonts w:ascii="仿宋_GB2312" w:hAnsi="华文仿宋" w:eastAsia="仿宋_GB2312" w:cs="黑体"/>
          <w:b/>
          <w:sz w:val="32"/>
          <w:szCs w:val="32"/>
        </w:rPr>
      </w:pPr>
      <w:r>
        <w:rPr>
          <w:rFonts w:ascii="仿宋_GB2312" w:hAnsi="华文仿宋" w:eastAsia="仿宋_GB2312" w:cs="黑体"/>
          <w:b/>
          <w:sz w:val="32"/>
          <w:szCs w:val="32"/>
        </w:rPr>
        <w:t>3、加强完善食药监管</w:t>
      </w:r>
    </w:p>
    <w:p>
      <w:pPr>
        <w:rPr>
          <w:rFonts w:ascii="仿宋_GB2312" w:eastAsia="仿宋_GB2312"/>
          <w:sz w:val="32"/>
          <w:szCs w:val="32"/>
        </w:rPr>
      </w:pPr>
      <w:r>
        <w:rPr>
          <w:rFonts w:ascii="仿宋_GB2312" w:hAnsi="仿宋" w:eastAsia="仿宋_GB2312" w:cs="Arial"/>
          <w:b/>
          <w:sz w:val="32"/>
          <w:szCs w:val="32"/>
          <w:shd w:val="clear" w:color="auto" w:fill="FFFFFF"/>
        </w:rPr>
        <w:t xml:space="preserve">    </w:t>
      </w:r>
      <w:r>
        <w:rPr>
          <w:rFonts w:hint="eastAsia" w:ascii="仿宋_GB2312" w:hAnsi="仿宋" w:eastAsia="仿宋_GB2312"/>
          <w:b/>
          <w:sz w:val="32"/>
          <w:szCs w:val="32"/>
        </w:rPr>
        <w:t>构建监管新机制。</w:t>
      </w:r>
      <w:r>
        <w:rPr>
          <w:rFonts w:hint="eastAsia" w:ascii="仿宋_GB2312" w:eastAsia="仿宋_GB2312"/>
          <w:sz w:val="32"/>
          <w:szCs w:val="32"/>
        </w:rPr>
        <w:t>完善食品药品监管体制机制，将监管工作纳入政府考核体系。严格监管责任制和问责制度。构建镇政府统一领导抓食品药品安全的新机制，建立和完善定期开展整顿和规范药品市场秩序专项行动的长效机制。完善重大活动餐饮安全保障制度。完善食品、药品安全标准，加强质量监管，保障人民群众吃的放心、用药安心。</w:t>
      </w:r>
    </w:p>
    <w:p>
      <w:pPr>
        <w:widowControl/>
        <w:ind w:firstLine="555"/>
        <w:jc w:val="left"/>
        <w:rPr>
          <w:rFonts w:ascii="仿宋_GB2312" w:eastAsia="仿宋_GB2312"/>
          <w:sz w:val="32"/>
          <w:szCs w:val="32"/>
        </w:rPr>
      </w:pPr>
      <w:r>
        <w:rPr>
          <w:rFonts w:hint="eastAsia" w:ascii="仿宋_GB2312" w:hAnsi="仿宋" w:eastAsia="仿宋_GB2312"/>
          <w:b/>
          <w:sz w:val="32"/>
          <w:szCs w:val="32"/>
        </w:rPr>
        <w:t>提升监管综合能力。</w:t>
      </w:r>
      <w:r>
        <w:rPr>
          <w:rFonts w:hint="eastAsia" w:ascii="仿宋_GB2312" w:eastAsia="仿宋_GB2312"/>
          <w:sz w:val="32"/>
          <w:szCs w:val="32"/>
        </w:rPr>
        <w:t>加强食品药品安全风险监测评估预警和监管执法，提高检验检测、认证检查和不良反应监测等食品药品安全技术支撑能力建设，改善行政执法机构装备条件，提高食品药品安全监管能力和水平。突出监管重点，开展重点品种、重点行业的综合治理和专项行动，严厉打击食品违法犯罪和生产销售假药违法行为，加快实现全镇大中型农贸市场本地检测全覆盖。推进食品安全快速检测平台建设工程。建立健全食品药品安全应急体系，强化应急管理，完善保障重大活动餐饮服务食品安全等应急工作机制，提高应急处置能力。</w:t>
      </w:r>
    </w:p>
    <w:p>
      <w:pPr>
        <w:keepNext/>
        <w:keepLines/>
        <w:spacing w:before="260" w:after="260" w:line="416" w:lineRule="auto"/>
        <w:ind w:firstLine="643" w:firstLineChars="200"/>
        <w:outlineLvl w:val="2"/>
        <w:rPr>
          <w:rFonts w:ascii="仿宋_GB2312" w:hAnsi="华文仿宋" w:eastAsia="仿宋_GB2312" w:cs="黑体"/>
          <w:b/>
          <w:sz w:val="32"/>
          <w:szCs w:val="32"/>
        </w:rPr>
      </w:pPr>
      <w:r>
        <w:rPr>
          <w:rFonts w:ascii="仿宋_GB2312" w:hAnsi="华文仿宋" w:eastAsia="仿宋_GB2312" w:cs="黑体"/>
          <w:b/>
          <w:sz w:val="32"/>
          <w:szCs w:val="32"/>
        </w:rPr>
        <w:t>4、强化违法建设管控</w:t>
      </w:r>
    </w:p>
    <w:p>
      <w:pPr>
        <w:ind w:firstLine="570"/>
        <w:rPr>
          <w:rFonts w:ascii="仿宋_GB2312" w:hAnsi="仿宋" w:eastAsia="仿宋_GB2312" w:cs="宋体"/>
          <w:color w:val="000000"/>
          <w:kern w:val="0"/>
          <w:sz w:val="32"/>
          <w:szCs w:val="32"/>
        </w:rPr>
      </w:pPr>
      <w:r>
        <w:rPr>
          <w:rFonts w:hint="eastAsia" w:ascii="仿宋_GB2312" w:eastAsia="仿宋_GB2312"/>
          <w:sz w:val="32"/>
          <w:szCs w:val="32"/>
        </w:rPr>
        <w:t>继续坚持“零容忍”态度，加强对非法占地、违法建设的巡查管控，完成芦求路（庞各庄段）违建拆除工作，确保实现“减存量、零增量”的目标。通过“以业控违、以地控违、以绿控违和源头治理”，将拆违控违与流动人口管控、环境整治等工作相结合，完成田间居住点的拆除工作，完成以薛营养殖小区为代表的非法经营企业清理工作，切实解决非法经营、违法建设、流动人口聚集、安全隐患突出等问题。要</w:t>
      </w:r>
      <w:r>
        <w:rPr>
          <w:rFonts w:ascii="仿宋_GB2312" w:eastAsia="仿宋_GB2312"/>
          <w:sz w:val="32"/>
          <w:szCs w:val="32"/>
        </w:rPr>
        <w:t>把集体建设</w:t>
      </w:r>
      <w:r>
        <w:rPr>
          <w:rFonts w:hint="eastAsia" w:ascii="仿宋_GB2312" w:eastAsia="仿宋_GB2312"/>
          <w:sz w:val="32"/>
          <w:szCs w:val="32"/>
        </w:rPr>
        <w:t>用地</w:t>
      </w:r>
      <w:r>
        <w:rPr>
          <w:rFonts w:ascii="仿宋_GB2312" w:eastAsia="仿宋_GB2312"/>
          <w:sz w:val="32"/>
          <w:szCs w:val="32"/>
        </w:rPr>
        <w:t>拆迁腾</w:t>
      </w:r>
      <w:r>
        <w:rPr>
          <w:rFonts w:hint="eastAsia" w:ascii="仿宋_GB2312" w:eastAsia="仿宋_GB2312"/>
          <w:sz w:val="32"/>
          <w:szCs w:val="32"/>
        </w:rPr>
        <w:t>运</w:t>
      </w:r>
      <w:r>
        <w:rPr>
          <w:rFonts w:ascii="仿宋_GB2312" w:eastAsia="仿宋_GB2312"/>
          <w:sz w:val="32"/>
          <w:szCs w:val="32"/>
        </w:rPr>
        <w:t>工作作为控</w:t>
      </w:r>
      <w:r>
        <w:rPr>
          <w:rFonts w:hint="eastAsia" w:ascii="仿宋_GB2312" w:eastAsia="仿宋_GB2312"/>
          <w:sz w:val="32"/>
          <w:szCs w:val="32"/>
        </w:rPr>
        <w:t>违工作</w:t>
      </w:r>
      <w:r>
        <w:rPr>
          <w:rFonts w:ascii="仿宋_GB2312" w:eastAsia="仿宋_GB2312"/>
          <w:sz w:val="32"/>
          <w:szCs w:val="32"/>
        </w:rPr>
        <w:t>的重要手段。</w:t>
      </w:r>
      <w:r>
        <w:rPr>
          <w:rFonts w:hint="eastAsia" w:ascii="仿宋_GB2312" w:eastAsia="仿宋_GB2312"/>
          <w:sz w:val="32"/>
          <w:szCs w:val="32"/>
        </w:rPr>
        <w:t>持续保持拆违打非的高压态势，综合整治违法、违规建设，坚决杜绝增量违建。</w:t>
      </w:r>
    </w:p>
    <w:p>
      <w:pPr>
        <w:pStyle w:val="2"/>
        <w:jc w:val="left"/>
      </w:pPr>
      <w:bookmarkStart w:id="99" w:name="_Toc460947533"/>
      <w:bookmarkStart w:id="100" w:name="_Toc444603354"/>
      <w:r>
        <w:rPr>
          <w:rFonts w:hint="eastAsia"/>
        </w:rPr>
        <w:t>六、营造绿色生态环境</w:t>
      </w:r>
      <w:bookmarkEnd w:id="99"/>
      <w:bookmarkEnd w:id="100"/>
    </w:p>
    <w:p>
      <w:pPr>
        <w:pStyle w:val="3"/>
      </w:pPr>
      <w:bookmarkStart w:id="101" w:name="_Toc444603355"/>
      <w:bookmarkStart w:id="102" w:name="_Toc460947534"/>
      <w:r>
        <w:rPr>
          <w:rFonts w:hint="eastAsia"/>
        </w:rPr>
        <w:t>（一）建设宜居宜业绿色家园</w:t>
      </w:r>
      <w:bookmarkEnd w:id="101"/>
      <w:bookmarkEnd w:id="102"/>
    </w:p>
    <w:p>
      <w:pPr>
        <w:ind w:firstLine="555"/>
        <w:rPr>
          <w:rFonts w:ascii="仿宋_GB2312" w:hAnsi="宋体" w:eastAsia="仿宋_GB2312" w:cs="宋体"/>
          <w:color w:val="000000"/>
          <w:kern w:val="0"/>
          <w:sz w:val="32"/>
          <w:szCs w:val="32"/>
        </w:rPr>
      </w:pPr>
      <w:r>
        <w:rPr>
          <w:rFonts w:hint="eastAsia" w:ascii="仿宋_GB2312" w:hAnsi="华文仿宋" w:eastAsia="仿宋_GB2312" w:cs="黑体"/>
          <w:b/>
          <w:sz w:val="32"/>
          <w:szCs w:val="32"/>
        </w:rPr>
        <w:t>倡导低碳生活方式。</w:t>
      </w:r>
      <w:r>
        <w:rPr>
          <w:rFonts w:hint="eastAsia" w:ascii="仿宋_GB2312" w:hAnsi="宋体" w:eastAsia="仿宋_GB2312" w:cs="宋体"/>
          <w:color w:val="000000"/>
          <w:kern w:val="0"/>
          <w:sz w:val="32"/>
          <w:szCs w:val="32"/>
        </w:rPr>
        <w:t>积极倡导绿色低碳、勤俭节约的生活方式，鼓励居民家庭选用节水器具，加快淘汰不符合节水标准的用水设备和器具</w:t>
      </w:r>
      <w:r>
        <w:rPr>
          <w:rFonts w:hint="eastAsia" w:ascii="仿宋_GB2312" w:hAnsi="仿宋" w:eastAsia="仿宋_GB2312" w:cs="宋体"/>
          <w:kern w:val="0"/>
          <w:sz w:val="32"/>
          <w:szCs w:val="32"/>
        </w:rPr>
        <w:t>，大力推进住宅小区、农村新社区的中水回用工程建设，提高中水利用率。</w:t>
      </w:r>
      <w:r>
        <w:rPr>
          <w:rFonts w:hint="eastAsia" w:ascii="仿宋_GB2312" w:hAnsi="仿宋" w:eastAsia="仿宋_GB2312" w:cs="仿宋_GB2312"/>
          <w:kern w:val="0"/>
          <w:sz w:val="32"/>
          <w:szCs w:val="32"/>
          <w:lang w:val="zh-CN"/>
        </w:rPr>
        <w:t>实施新农村新能源示范工程，加快太阳能、生物质能、地热能等新能源的推广和利用。</w:t>
      </w:r>
      <w:r>
        <w:rPr>
          <w:rFonts w:hint="eastAsia" w:ascii="仿宋_GB2312" w:hAnsi="宋体" w:eastAsia="仿宋_GB2312" w:cs="宋体"/>
          <w:color w:val="000000"/>
          <w:kern w:val="0"/>
          <w:sz w:val="32"/>
          <w:szCs w:val="32"/>
        </w:rPr>
        <w:t>引导群众购买绿色建材、节能家电、新能源汽车等节能产品。</w:t>
      </w:r>
      <w:r>
        <w:rPr>
          <w:rFonts w:hint="eastAsia" w:ascii="仿宋_GB2312" w:hAnsi="仿宋" w:eastAsia="仿宋_GB2312" w:cs="仿宋_GB2312"/>
          <w:kern w:val="0"/>
          <w:sz w:val="32"/>
          <w:szCs w:val="32"/>
          <w:lang w:val="zh-CN"/>
        </w:rPr>
        <w:t>鼓励</w:t>
      </w:r>
      <w:r>
        <w:rPr>
          <w:rFonts w:hint="eastAsia" w:ascii="仿宋_GB2312" w:hAnsi="仿宋" w:eastAsia="仿宋_GB2312" w:cs="宋体"/>
          <w:kern w:val="0"/>
          <w:sz w:val="32"/>
          <w:szCs w:val="32"/>
        </w:rPr>
        <w:t>居民进行垃圾分类，加强生活垃圾分类回收和再生资源回收的衔接，积极推动秸秆等农林废弃物以及建筑垃圾、废弃电子产品、餐厨废弃物资源化利用，发展再制造和再生利用产品。引导社区居民绿色消费、绿色出行、绿色居住，培养社区居民形成绿色、低碳、健康的生活习惯。</w:t>
      </w:r>
      <w:r>
        <w:rPr>
          <w:rFonts w:ascii="仿宋_GB2312" w:hAnsi="宋体" w:eastAsia="仿宋_GB2312" w:cs="宋体"/>
          <w:color w:val="000000"/>
          <w:kern w:val="0"/>
          <w:sz w:val="32"/>
          <w:szCs w:val="32"/>
        </w:rPr>
        <w:t xml:space="preserve"> </w:t>
      </w:r>
    </w:p>
    <w:p>
      <w:pPr>
        <w:ind w:firstLine="560"/>
        <w:rPr>
          <w:rFonts w:ascii="仿宋_GB2312" w:hAnsi="仿宋" w:eastAsia="仿宋_GB2312" w:cs="仿宋_GB2312"/>
          <w:kern w:val="0"/>
          <w:sz w:val="32"/>
          <w:szCs w:val="32"/>
          <w:lang w:val="zh-CN"/>
        </w:rPr>
      </w:pPr>
      <w:r>
        <w:rPr>
          <w:rFonts w:hint="eastAsia" w:ascii="仿宋_GB2312" w:hAnsi="华文仿宋" w:eastAsia="仿宋_GB2312" w:cs="黑体"/>
          <w:b/>
          <w:sz w:val="32"/>
          <w:szCs w:val="32"/>
        </w:rPr>
        <w:t>构建绿色生产体系。</w:t>
      </w:r>
      <w:r>
        <w:rPr>
          <w:rFonts w:hint="eastAsia" w:ascii="仿宋_GB2312" w:hAnsi="仿宋" w:eastAsia="仿宋_GB2312" w:cs="宋体"/>
          <w:kern w:val="0"/>
          <w:sz w:val="32"/>
          <w:szCs w:val="32"/>
        </w:rPr>
        <w:t>推进传统制造业绿色改造，严格限制高耗水工业发展，着力建设绿色低碳循环发展产业体系。</w:t>
      </w:r>
      <w:r>
        <w:rPr>
          <w:rFonts w:ascii="仿宋_GB2312" w:hAnsi="仿宋" w:eastAsia="仿宋_GB2312" w:cs="宋体"/>
          <w:kern w:val="0"/>
          <w:sz w:val="32"/>
          <w:szCs w:val="32"/>
        </w:rPr>
        <w:t>加</w:t>
      </w:r>
      <w:r>
        <w:rPr>
          <w:rFonts w:hint="eastAsia" w:ascii="仿宋_GB2312" w:hAnsi="仿宋" w:eastAsia="仿宋_GB2312" w:cs="宋体"/>
          <w:kern w:val="0"/>
          <w:sz w:val="32"/>
          <w:szCs w:val="32"/>
        </w:rPr>
        <w:t>快</w:t>
      </w:r>
      <w:r>
        <w:rPr>
          <w:rFonts w:ascii="仿宋_GB2312" w:hAnsi="仿宋" w:eastAsia="仿宋_GB2312" w:cs="宋体"/>
          <w:kern w:val="0"/>
          <w:sz w:val="32"/>
          <w:szCs w:val="32"/>
        </w:rPr>
        <w:t>美丹食品、博洛尼、昆仑等耗能大户企业实施技</w:t>
      </w:r>
      <w:r>
        <w:rPr>
          <w:rFonts w:hint="eastAsia" w:ascii="仿宋_GB2312" w:hAnsi="仿宋" w:eastAsia="仿宋_GB2312" w:cs="宋体"/>
          <w:kern w:val="0"/>
          <w:sz w:val="32"/>
          <w:szCs w:val="32"/>
        </w:rPr>
        <w:t>改治理工作进</w:t>
      </w:r>
      <w:r>
        <w:rPr>
          <w:rFonts w:ascii="仿宋_GB2312" w:hAnsi="仿宋" w:eastAsia="仿宋_GB2312" w:cs="宋体"/>
          <w:kern w:val="0"/>
          <w:sz w:val="32"/>
          <w:szCs w:val="32"/>
        </w:rPr>
        <w:t>度，完全实现无</w:t>
      </w:r>
      <w:r>
        <w:rPr>
          <w:rFonts w:hint="eastAsia" w:ascii="仿宋_GB2312" w:hAnsi="仿宋" w:eastAsia="仿宋_GB2312" w:cs="宋体"/>
          <w:kern w:val="0"/>
          <w:sz w:val="32"/>
          <w:szCs w:val="32"/>
        </w:rPr>
        <w:t>煤</w:t>
      </w:r>
      <w:r>
        <w:rPr>
          <w:rFonts w:ascii="仿宋_GB2312" w:hAnsi="仿宋" w:eastAsia="仿宋_GB2312" w:cs="宋体"/>
          <w:kern w:val="0"/>
          <w:sz w:val="32"/>
          <w:szCs w:val="32"/>
        </w:rPr>
        <w:t>化。科学调整农业种植结构，</w:t>
      </w:r>
      <w:r>
        <w:rPr>
          <w:rFonts w:hint="eastAsia" w:ascii="仿宋_GB2312" w:hAnsi="仿宋" w:eastAsia="仿宋_GB2312" w:cs="宋体"/>
          <w:kern w:val="0"/>
          <w:sz w:val="32"/>
          <w:szCs w:val="32"/>
        </w:rPr>
        <w:t>加强农业节水，开展以农田节水、雨洪利用等工程为主的农田水利基本建设。继续完善对资源综合利用企业、清洁生产项目的财政和税收优惠政策，尽快设立庞各庄镇绿色发展基金，</w:t>
      </w:r>
      <w:r>
        <w:rPr>
          <w:rFonts w:hint="eastAsia" w:ascii="仿宋_GB2312" w:hAnsi="仿宋" w:eastAsia="仿宋_GB2312" w:cs="仿宋_GB2312"/>
          <w:kern w:val="0"/>
          <w:sz w:val="32"/>
          <w:szCs w:val="32"/>
          <w:lang w:val="zh-CN"/>
        </w:rPr>
        <w:t>采用直接投资或资金补助、贷款贴息等方式，加大对资源循环利用的重大项目和技术示范产业化项目的资金支持力度。</w:t>
      </w:r>
    </w:p>
    <w:p>
      <w:pPr>
        <w:ind w:firstLine="643" w:firstLineChars="200"/>
        <w:rPr>
          <w:rFonts w:ascii="仿宋_GB2312" w:hAnsi="仿宋" w:eastAsia="仿宋_GB2312" w:cs="宋体"/>
          <w:kern w:val="0"/>
          <w:sz w:val="32"/>
          <w:szCs w:val="32"/>
        </w:rPr>
      </w:pPr>
      <w:r>
        <w:rPr>
          <w:rFonts w:hint="eastAsia" w:ascii="仿宋_GB2312" w:hAnsi="华文仿宋" w:eastAsia="仿宋_GB2312" w:cs="黑体"/>
          <w:b/>
          <w:sz w:val="32"/>
          <w:szCs w:val="32"/>
        </w:rPr>
        <w:t>推进镇村美化工程。</w:t>
      </w:r>
      <w:r>
        <w:rPr>
          <w:rFonts w:hint="eastAsia" w:ascii="仿宋_GB2312" w:hAnsi="仿宋" w:eastAsia="仿宋_GB2312" w:cs="宋体"/>
          <w:kern w:val="0"/>
          <w:sz w:val="32"/>
          <w:szCs w:val="32"/>
        </w:rPr>
        <w:t>以永定河生态经济走廊、永兴河绿色生态走廊、京开高速公路两侧绿化带和村庄、农田环境整治为重点，大力推进生态景观重点工程建设，稳步实施平原造林工程，加快庞安路、东赵路等产业带景观美化提升和</w:t>
      </w:r>
      <w:r>
        <w:rPr>
          <w:rFonts w:hint="eastAsia" w:ascii="仿宋_GB2312" w:hAnsi="宋体" w:eastAsia="仿宋_GB2312" w:cs="宋体"/>
          <w:color w:val="000000"/>
          <w:kern w:val="0"/>
          <w:sz w:val="32"/>
          <w:szCs w:val="32"/>
        </w:rPr>
        <w:t>沿新机场周边的大尺度森林景观带建设，</w:t>
      </w:r>
      <w:r>
        <w:rPr>
          <w:rFonts w:hint="eastAsia" w:ascii="仿宋_GB2312" w:hAnsi="仿宋" w:eastAsia="仿宋_GB2312" w:cs="宋体"/>
          <w:kern w:val="0"/>
          <w:sz w:val="32"/>
          <w:szCs w:val="32"/>
        </w:rPr>
        <w:t>拓展城市绿化空间，提高绿地景观质量，建设城乡健康绿道。完成薛营特色美食街景观改造工程。</w:t>
      </w:r>
      <w:r>
        <w:rPr>
          <w:rFonts w:hint="eastAsia" w:ascii="仿宋_GB2312" w:hAnsi="仿宋" w:eastAsia="仿宋_GB2312" w:cs="仿宋_GB2312"/>
          <w:kern w:val="0"/>
          <w:sz w:val="32"/>
          <w:szCs w:val="32"/>
        </w:rPr>
        <w:t>注重对天然河道、湖泊、湿</w:t>
      </w:r>
      <w:r>
        <w:rPr>
          <w:rFonts w:hint="eastAsia" w:ascii="仿宋_GB2312" w:hAnsi="仿宋" w:eastAsia="仿宋_GB2312" w:cs="宋体"/>
          <w:kern w:val="0"/>
          <w:sz w:val="32"/>
          <w:szCs w:val="32"/>
        </w:rPr>
        <w:t>地、坑塘、沟渠的保护和利用，积极推动城市绿地与广场建设向具有雨水调蓄功能的多功能“雨洪公园”方向发展，加快“海绵城市”建设。与社会资本合作，引进多功能的太阳能垃圾箱项目，美化亮化城市环境。严格落实</w:t>
      </w:r>
      <w:r>
        <w:rPr>
          <w:rFonts w:hint="eastAsia" w:ascii="仿宋_GB2312" w:hAnsi="仿宋_GB2312" w:eastAsia="仿宋_GB2312" w:cs="仿宋_GB2312"/>
          <w:bCs/>
          <w:color w:val="000000"/>
          <w:kern w:val="0"/>
          <w:sz w:val="32"/>
          <w:szCs w:val="32"/>
        </w:rPr>
        <w:t>《大兴区庞各庄镇平原造林工程新增森林资源养护管理办法》</w:t>
      </w:r>
      <w:r>
        <w:rPr>
          <w:rFonts w:hint="eastAsia" w:ascii="仿宋_GB2312" w:hAnsi="仿宋_GB2312" w:eastAsia="仿宋_GB2312" w:cs="仿宋_GB2312"/>
          <w:color w:val="000000"/>
          <w:kern w:val="0"/>
          <w:sz w:val="32"/>
          <w:szCs w:val="32"/>
        </w:rPr>
        <w:t>，</w:t>
      </w:r>
      <w:r>
        <w:rPr>
          <w:rFonts w:hint="eastAsia" w:ascii="仿宋_GB2312" w:hAnsi="仿宋" w:eastAsia="仿宋_GB2312" w:cs="宋体"/>
          <w:kern w:val="0"/>
          <w:sz w:val="32"/>
          <w:szCs w:val="32"/>
        </w:rPr>
        <w:t>进一步完善平原造林、集中绿地和村庄绿化养护机制。</w:t>
      </w:r>
    </w:p>
    <w:p>
      <w:pPr>
        <w:pStyle w:val="3"/>
      </w:pPr>
      <w:bookmarkStart w:id="103" w:name="_Toc460947535"/>
      <w:bookmarkStart w:id="104" w:name="_Toc444603356"/>
      <w:r>
        <w:rPr>
          <w:rFonts w:hint="eastAsia"/>
        </w:rPr>
        <w:t>（二）构筑自然水域景观</w:t>
      </w:r>
      <w:bookmarkEnd w:id="103"/>
      <w:bookmarkEnd w:id="104"/>
    </w:p>
    <w:p>
      <w:pPr>
        <w:ind w:firstLine="560"/>
        <w:rPr>
          <w:rFonts w:ascii="仿宋_GB2312" w:hAnsi="仿宋" w:eastAsia="仿宋_GB2312" w:cs="宋体"/>
          <w:kern w:val="0"/>
          <w:sz w:val="32"/>
          <w:szCs w:val="32"/>
        </w:rPr>
      </w:pPr>
      <w:r>
        <w:rPr>
          <w:rFonts w:hint="eastAsia" w:ascii="仿宋_GB2312" w:hAnsi="华文仿宋" w:eastAsia="仿宋_GB2312" w:cs="黑体"/>
          <w:b/>
          <w:sz w:val="32"/>
          <w:szCs w:val="32"/>
        </w:rPr>
        <w:t>加快河道生态修复。</w:t>
      </w:r>
      <w:r>
        <w:rPr>
          <w:rFonts w:hint="eastAsia" w:ascii="仿宋_GB2312" w:hAnsi="仿宋" w:eastAsia="仿宋_GB2312" w:cs="宋体"/>
          <w:kern w:val="0"/>
          <w:sz w:val="32"/>
          <w:szCs w:val="32"/>
        </w:rPr>
        <w:t>坚持保护优先和自然修复为主，加强内河生态、沿河湿地等重要生态系统的保护与修复，完善沿岸水系生物生态系统，改善内河生态环境，筑牢生态安全屏障。做好永定河、永兴河辖区内河道疏浚工程，完成永兴河（庞各庄段）改造工程，</w:t>
      </w:r>
      <w:r>
        <w:rPr>
          <w:rFonts w:hint="eastAsia" w:ascii="仿宋_GB2312" w:hAnsi="宋体" w:eastAsia="仿宋_GB2312" w:cs="宋体"/>
          <w:color w:val="000000"/>
          <w:kern w:val="0"/>
          <w:sz w:val="32"/>
          <w:szCs w:val="32"/>
        </w:rPr>
        <w:t>推动永定河生态供水和水环境建设。</w:t>
      </w:r>
      <w:r>
        <w:rPr>
          <w:rFonts w:hint="eastAsia" w:ascii="仿宋_GB2312" w:hAnsi="仿宋" w:eastAsia="仿宋_GB2312" w:cs="宋体"/>
          <w:kern w:val="0"/>
          <w:sz w:val="32"/>
          <w:szCs w:val="32"/>
        </w:rPr>
        <w:t>积极开展河道治理，加强水体净化和河道疏浚清淤治理，制定河道治理长效机制。</w:t>
      </w:r>
    </w:p>
    <w:p>
      <w:pPr>
        <w:rPr>
          <w:rFonts w:ascii="仿宋_GB2312" w:hAnsi="宋体" w:eastAsia="仿宋_GB2312" w:cs="宋体"/>
          <w:color w:val="000000"/>
          <w:kern w:val="0"/>
          <w:sz w:val="32"/>
          <w:szCs w:val="32"/>
        </w:rPr>
      </w:pPr>
      <w:r>
        <w:rPr>
          <w:rFonts w:ascii="仿宋_GB2312" w:hAnsi="华文仿宋" w:eastAsia="仿宋_GB2312" w:cs="黑体"/>
          <w:b/>
          <w:sz w:val="32"/>
          <w:szCs w:val="32"/>
        </w:rPr>
        <w:t xml:space="preserve">    </w:t>
      </w:r>
      <w:r>
        <w:rPr>
          <w:rFonts w:hint="eastAsia" w:ascii="仿宋_GB2312" w:hAnsi="华文仿宋" w:eastAsia="仿宋_GB2312" w:cs="黑体"/>
          <w:b/>
          <w:sz w:val="32"/>
          <w:szCs w:val="32"/>
        </w:rPr>
        <w:t>打造水岸生态走廊。</w:t>
      </w:r>
      <w:r>
        <w:rPr>
          <w:rFonts w:hint="eastAsia" w:ascii="仿宋_GB2312" w:hAnsi="仿宋" w:eastAsia="仿宋_GB2312" w:cs="宋体"/>
          <w:kern w:val="0"/>
          <w:sz w:val="32"/>
          <w:szCs w:val="32"/>
        </w:rPr>
        <w:t>加快生态经济林建设工程、众美、永兴河文化休闲公园等项目景观完善与设施配套，通过实施生态补水、生物水质净化和生态自然修复等措施，积极加强水岸湿地公园建设，全面提升区域内重要自然生态系统稳定性和生态服务功能。</w:t>
      </w:r>
    </w:p>
    <w:p>
      <w:pPr>
        <w:pStyle w:val="3"/>
      </w:pPr>
      <w:bookmarkStart w:id="105" w:name="_Toc444603357"/>
      <w:bookmarkStart w:id="106" w:name="_Toc460947536"/>
      <w:r>
        <w:rPr>
          <w:rFonts w:hint="eastAsia"/>
        </w:rPr>
        <w:t>（三）加大环境保护力度</w:t>
      </w:r>
      <w:bookmarkEnd w:id="105"/>
      <w:bookmarkEnd w:id="106"/>
    </w:p>
    <w:p>
      <w:pPr>
        <w:ind w:firstLine="643" w:firstLineChars="200"/>
        <w:rPr>
          <w:rFonts w:ascii="仿宋_GB2312" w:hAnsi="仿宋" w:eastAsia="仿宋_GB2312" w:cs="宋体"/>
          <w:kern w:val="0"/>
          <w:sz w:val="32"/>
          <w:szCs w:val="32"/>
        </w:rPr>
      </w:pPr>
      <w:r>
        <w:rPr>
          <w:rFonts w:hint="eastAsia" w:ascii="仿宋_GB2312" w:hAnsi="华文仿宋" w:eastAsia="仿宋_GB2312" w:cs="黑体"/>
          <w:b/>
          <w:sz w:val="32"/>
          <w:szCs w:val="32"/>
        </w:rPr>
        <w:t>加强污染防治工作。</w:t>
      </w:r>
      <w:r>
        <w:rPr>
          <w:rFonts w:hint="eastAsia" w:ascii="仿宋_GB2312" w:hAnsi="仿宋" w:eastAsia="仿宋_GB2312" w:cs="宋体"/>
          <w:kern w:val="0"/>
          <w:sz w:val="32"/>
          <w:szCs w:val="32"/>
        </w:rPr>
        <w:t>实施预防大气污染防控工程。加强大气污染治理力度，完善主要大气污染物总量控制制度，</w:t>
      </w:r>
      <w:r>
        <w:rPr>
          <w:rFonts w:hint="eastAsia" w:ascii="仿宋_GB2312" w:hAnsi="宋体" w:eastAsia="仿宋_GB2312" w:cs="宋体"/>
          <w:color w:val="000000"/>
          <w:kern w:val="0"/>
          <w:sz w:val="32"/>
          <w:szCs w:val="32"/>
        </w:rPr>
        <w:t>落实好</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无煤化</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行动，</w:t>
      </w:r>
      <w:r>
        <w:rPr>
          <w:rFonts w:hint="eastAsia" w:ascii="仿宋_GB2312" w:hAnsi="仿宋" w:eastAsia="仿宋_GB2312" w:cs="宋体"/>
          <w:kern w:val="0"/>
          <w:sz w:val="32"/>
          <w:szCs w:val="32"/>
        </w:rPr>
        <w:t>加快</w:t>
      </w:r>
      <w:r>
        <w:rPr>
          <w:rFonts w:hint="eastAsia" w:ascii="仿宋_GB2312" w:hAnsi="仿宋" w:eastAsia="仿宋_GB2312" w:cs="仿宋_GB2312"/>
          <w:kern w:val="0"/>
          <w:sz w:val="32"/>
          <w:szCs w:val="32"/>
          <w:lang w:val="zh-CN"/>
        </w:rPr>
        <w:t>取暖设备升级改造和燃煤锅炉房改燃气的实施步伐，</w:t>
      </w:r>
      <w:r>
        <w:rPr>
          <w:rFonts w:hint="eastAsia" w:ascii="仿宋_GB2312" w:hAnsi="仿宋" w:eastAsia="仿宋_GB2312" w:cs="宋体"/>
          <w:kern w:val="0"/>
          <w:sz w:val="32"/>
          <w:szCs w:val="32"/>
        </w:rPr>
        <w:t>完成梨花村、东梨园村“煤改电”工程</w:t>
      </w:r>
      <w:r>
        <w:rPr>
          <w:rFonts w:hint="eastAsia" w:ascii="仿宋_GB2312" w:hAnsi="仿宋" w:eastAsia="仿宋_GB2312" w:cs="仿宋_GB2312"/>
          <w:kern w:val="0"/>
          <w:sz w:val="32"/>
          <w:szCs w:val="32"/>
          <w:lang w:val="zh-CN"/>
        </w:rPr>
        <w:t>。</w:t>
      </w:r>
      <w:r>
        <w:rPr>
          <w:rFonts w:hint="eastAsia" w:ascii="仿宋_GB2312" w:hAnsi="仿宋" w:eastAsia="仿宋_GB2312" w:cs="宋体"/>
          <w:kern w:val="0"/>
          <w:sz w:val="32"/>
          <w:szCs w:val="32"/>
        </w:rPr>
        <w:t>推进污水处理厂建设和已有污水处理设施提标改造，加快污水截留和管网工程建设，完成京开路两侧、二支、三支和四支路积水点污水整治工作，加快</w:t>
      </w:r>
      <w:r>
        <w:rPr>
          <w:rFonts w:hint="eastAsia" w:ascii="仿宋_GB2312" w:hAnsi="仿宋" w:eastAsia="仿宋_GB2312" w:cs="仿宋"/>
          <w:color w:val="000000"/>
          <w:kern w:val="0"/>
          <w:sz w:val="32"/>
          <w:szCs w:val="32"/>
        </w:rPr>
        <w:t>京开路两侧垃圾清理、轻飘物捡拾动态管理步伐</w:t>
      </w:r>
      <w:r>
        <w:rPr>
          <w:rFonts w:hint="eastAsia" w:ascii="仿宋_GB2312" w:hAnsi="仿宋" w:eastAsia="仿宋_GB2312" w:cs="宋体"/>
          <w:kern w:val="0"/>
          <w:sz w:val="32"/>
          <w:szCs w:val="32"/>
        </w:rPr>
        <w:t>。有效治理道路、建筑、餐饮、娱乐等噪声污染源，创建安静居住小区。统筹废弃物收集与处置，确保实现垃圾的分类和减量，加快</w:t>
      </w:r>
      <w:r>
        <w:rPr>
          <w:rFonts w:hint="eastAsia" w:ascii="仿宋_GB2312" w:hAnsi="仿宋" w:eastAsia="仿宋_GB2312" w:cs="仿宋"/>
          <w:color w:val="000000"/>
          <w:kern w:val="0"/>
          <w:sz w:val="32"/>
          <w:szCs w:val="32"/>
        </w:rPr>
        <w:t>东黑垡等转运站筛分机械设备升级改造，</w:t>
      </w:r>
      <w:r>
        <w:rPr>
          <w:rFonts w:hint="eastAsia" w:ascii="仿宋_GB2312" w:hAnsi="仿宋" w:eastAsia="仿宋_GB2312" w:cs="宋体"/>
          <w:kern w:val="0"/>
          <w:sz w:val="32"/>
          <w:szCs w:val="32"/>
        </w:rPr>
        <w:t>提高垃圾无害化处理率，强化垃圾的资源化处理。因地制宜推广种植业、养殖业清洁生产技术，切实降低化肥用药使用，加大养殖污染防治力度，综合利用农牧业废弃物，加强农业面源污染控制与治理。</w:t>
      </w:r>
    </w:p>
    <w:p>
      <w:pPr>
        <w:rPr>
          <w:rFonts w:ascii="仿宋_GB2312" w:hAnsi="宋体" w:eastAsia="仿宋_GB2312" w:cs="宋体"/>
          <w:color w:val="000000"/>
          <w:kern w:val="0"/>
          <w:sz w:val="32"/>
          <w:szCs w:val="32"/>
        </w:rPr>
      </w:pPr>
      <w:r>
        <w:rPr>
          <w:rFonts w:ascii="仿宋_GB2312" w:hAnsi="华文仿宋" w:eastAsia="仿宋_GB2312" w:cs="黑体"/>
          <w:b/>
          <w:sz w:val="32"/>
          <w:szCs w:val="32"/>
        </w:rPr>
        <w:t xml:space="preserve">    </w:t>
      </w:r>
      <w:r>
        <w:rPr>
          <w:rFonts w:hint="eastAsia" w:ascii="仿宋_GB2312" w:hAnsi="华文仿宋" w:eastAsia="仿宋_GB2312" w:cs="黑体"/>
          <w:b/>
          <w:sz w:val="32"/>
          <w:szCs w:val="32"/>
        </w:rPr>
        <w:t>减少机动车排放。</w:t>
      </w:r>
      <w:r>
        <w:rPr>
          <w:rFonts w:hint="eastAsia" w:ascii="仿宋_GB2312" w:hAnsi="宋体" w:eastAsia="仿宋_GB2312" w:cs="宋体"/>
          <w:color w:val="000000"/>
          <w:kern w:val="0"/>
          <w:sz w:val="32"/>
          <w:szCs w:val="32"/>
        </w:rPr>
        <w:t>配合市、区淘汰黄标车的行动，严厉打击生产、销售不达标车辆的违法行为，增强机动车尾气监管力度。推广新能源汽车应用，重点抓好公交、环卫等行业及政府机关的新能源汽车示范应用工作。加快建设符合国家标准的加气站、充电站</w:t>
      </w:r>
      <w:r>
        <w:rPr>
          <w:rFonts w:ascii="仿宋_GB2312" w:hAnsi="宋体" w:eastAsia="仿宋_GB2312" w:cs="宋体"/>
          <w:color w:val="000000"/>
          <w:kern w:val="0"/>
          <w:sz w:val="32"/>
          <w:szCs w:val="32"/>
        </w:rPr>
        <w:t>(桩)等配套设施建设，满足新能源和</w:t>
      </w:r>
      <w:r>
        <w:fldChar w:fldCharType="begin"/>
      </w:r>
      <w:r>
        <w:instrText xml:space="preserve"> HYPERLINK "http://www.tanpaifang.com/qingjienengyuan" \t "_blank" </w:instrText>
      </w:r>
      <w:r>
        <w:fldChar w:fldCharType="separate"/>
      </w:r>
      <w:r>
        <w:rPr>
          <w:rFonts w:hint="eastAsia" w:ascii="仿宋_GB2312" w:hAnsi="宋体" w:eastAsia="仿宋_GB2312" w:cs="宋体"/>
          <w:color w:val="000000"/>
          <w:kern w:val="0"/>
          <w:sz w:val="32"/>
          <w:szCs w:val="32"/>
        </w:rPr>
        <w:t>清洁能源</w:t>
      </w:r>
      <w:r>
        <w:rPr>
          <w:rFonts w:hint="eastAsia" w:ascii="仿宋_GB2312" w:hAnsi="宋体" w:eastAsia="仿宋_GB2312" w:cs="宋体"/>
          <w:color w:val="000000"/>
          <w:kern w:val="0"/>
          <w:sz w:val="32"/>
          <w:szCs w:val="32"/>
        </w:rPr>
        <w:fldChar w:fldCharType="end"/>
      </w:r>
      <w:r>
        <w:rPr>
          <w:rFonts w:hint="eastAsia" w:ascii="仿宋_GB2312" w:hAnsi="宋体" w:eastAsia="仿宋_GB2312" w:cs="宋体"/>
          <w:color w:val="000000"/>
          <w:kern w:val="0"/>
          <w:sz w:val="32"/>
          <w:szCs w:val="32"/>
        </w:rPr>
        <w:t>汽车发展需求。鼓励居民使用电动车、自行车等环保出行方式，加强自行车道、步行道建设，合理布局公共自行车网点，增加重要交通枢纽的公共自行车供应。</w:t>
      </w:r>
    </w:p>
    <w:p>
      <w:pPr>
        <w:pStyle w:val="2"/>
        <w:jc w:val="left"/>
        <w:rPr>
          <w:sz w:val="36"/>
          <w:szCs w:val="36"/>
        </w:rPr>
      </w:pPr>
      <w:bookmarkStart w:id="107" w:name="_Toc438675202"/>
      <w:bookmarkStart w:id="108" w:name="_Toc460947537"/>
      <w:bookmarkStart w:id="109" w:name="_Toc441572661"/>
      <w:bookmarkStart w:id="110" w:name="_Toc444603358"/>
      <w:r>
        <w:rPr>
          <w:rFonts w:hint="eastAsia"/>
          <w:sz w:val="36"/>
          <w:szCs w:val="36"/>
        </w:rPr>
        <w:t>七、创新驱动开放发展</w:t>
      </w:r>
      <w:bookmarkEnd w:id="107"/>
      <w:bookmarkEnd w:id="108"/>
      <w:bookmarkEnd w:id="109"/>
      <w:bookmarkEnd w:id="110"/>
    </w:p>
    <w:p>
      <w:pPr>
        <w:pStyle w:val="3"/>
      </w:pPr>
      <w:bookmarkStart w:id="111" w:name="_Toc437585050"/>
      <w:bookmarkStart w:id="112" w:name="_Toc437244956"/>
      <w:bookmarkStart w:id="113" w:name="_Toc437585120"/>
      <w:bookmarkStart w:id="114" w:name="_Toc441572662"/>
      <w:bookmarkStart w:id="115" w:name="_Toc444603359"/>
      <w:bookmarkStart w:id="116" w:name="_Toc436393182"/>
      <w:bookmarkStart w:id="117" w:name="_Toc437245120"/>
      <w:bookmarkStart w:id="118" w:name="_Toc460947538"/>
      <w:r>
        <w:rPr>
          <w:rFonts w:hint="eastAsia"/>
        </w:rPr>
        <w:t>（一）培育创新发展新动力</w:t>
      </w:r>
      <w:bookmarkEnd w:id="111"/>
      <w:bookmarkEnd w:id="112"/>
      <w:bookmarkEnd w:id="113"/>
      <w:bookmarkEnd w:id="114"/>
      <w:bookmarkEnd w:id="115"/>
      <w:bookmarkEnd w:id="116"/>
      <w:bookmarkEnd w:id="117"/>
      <w:bookmarkEnd w:id="118"/>
    </w:p>
    <w:p>
      <w:pPr>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推进“双创”工程。</w:t>
      </w:r>
      <w:r>
        <w:rPr>
          <w:rFonts w:hint="eastAsia" w:ascii="仿宋_GB2312" w:hAnsi="宋体" w:eastAsia="仿宋_GB2312" w:cs="宋体"/>
          <w:color w:val="000000"/>
          <w:kern w:val="0"/>
          <w:sz w:val="32"/>
          <w:szCs w:val="32"/>
        </w:rPr>
        <w:t>完善创新创业支持政策，以工业园区和产业基地为载体，打造小型创业基地、创新工场等新型众创空间，为创新创业起步阶段的返乡大学生和农民工提供创新创业平台。鼓励博洛尼、阀门总厂、宗洋等龙头企业积极培育内部创客文化，激发员工创造力。提升创新创业服务，发展市场营销、法律顾问、知识产权、检验检测等第三方专业服务团队，组建由天使投资人、行业领军人物、市场营销专家等组成的专兼职创业导师队伍，提供针对性和个性化指导。鼓励网上创业行动，吸引并大力培养电子商务人才，普及电商、微商等网络销售平台的相关知识，给予创业政策支持，扩大网络创业群体，促进电子商务产业集群形成。借助各类媒体加大对创新创业的宣传力度，发掘典型案例，推广成功经验。</w:t>
      </w:r>
    </w:p>
    <w:p>
      <w:pPr>
        <w:ind w:firstLine="643" w:firstLineChars="200"/>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强化企业主体创新。</w:t>
      </w:r>
      <w:r>
        <w:rPr>
          <w:rFonts w:hint="eastAsia" w:ascii="仿宋_GB2312" w:hAnsi="宋体" w:eastAsia="仿宋_GB2312" w:cs="宋体"/>
          <w:color w:val="000000"/>
          <w:kern w:val="0"/>
          <w:sz w:val="32"/>
          <w:szCs w:val="32"/>
        </w:rPr>
        <w:t>引导和支持全镇中小企业技术创新和改造升级。</w:t>
      </w:r>
      <w:r>
        <w:rPr>
          <w:rFonts w:ascii="仿宋_GB2312" w:hAnsi="宋体" w:eastAsia="仿宋_GB2312" w:cs="宋体"/>
          <w:color w:val="000000"/>
          <w:kern w:val="0"/>
          <w:sz w:val="32"/>
          <w:szCs w:val="32"/>
        </w:rPr>
        <w:t>以企业为主体</w:t>
      </w:r>
      <w:r>
        <w:rPr>
          <w:rFonts w:hint="eastAsia" w:ascii="仿宋_GB2312" w:hAnsi="宋体" w:eastAsia="仿宋_GB2312" w:cs="宋体"/>
          <w:color w:val="000000"/>
          <w:kern w:val="0"/>
          <w:sz w:val="32"/>
          <w:szCs w:val="32"/>
        </w:rPr>
        <w:t>，以</w:t>
      </w:r>
      <w:r>
        <w:rPr>
          <w:rFonts w:ascii="仿宋_GB2312" w:hAnsi="宋体" w:eastAsia="仿宋_GB2312" w:cs="宋体"/>
          <w:color w:val="000000"/>
          <w:kern w:val="0"/>
          <w:sz w:val="32"/>
          <w:szCs w:val="32"/>
        </w:rPr>
        <w:t>市场为导向、</w:t>
      </w:r>
      <w:r>
        <w:rPr>
          <w:rFonts w:hint="eastAsia" w:ascii="仿宋_GB2312" w:hAnsi="宋体" w:eastAsia="仿宋_GB2312" w:cs="宋体"/>
          <w:color w:val="000000"/>
          <w:kern w:val="0"/>
          <w:sz w:val="32"/>
          <w:szCs w:val="32"/>
        </w:rPr>
        <w:t>金融为支撑，积极构建由政府、企业、协会、院校、金融机构等组成的</w:t>
      </w:r>
      <w:r>
        <w:rPr>
          <w:rFonts w:ascii="仿宋_GB2312" w:hAnsi="宋体" w:eastAsia="仿宋_GB2312" w:cs="宋体"/>
          <w:color w:val="000000"/>
          <w:kern w:val="0"/>
          <w:sz w:val="32"/>
          <w:szCs w:val="32"/>
        </w:rPr>
        <w:t>产学研</w:t>
      </w:r>
      <w:r>
        <w:rPr>
          <w:rFonts w:hint="eastAsia" w:ascii="仿宋_GB2312" w:hAnsi="宋体" w:eastAsia="仿宋_GB2312" w:cs="宋体"/>
          <w:color w:val="000000"/>
          <w:kern w:val="0"/>
          <w:sz w:val="32"/>
          <w:szCs w:val="32"/>
        </w:rPr>
        <w:t>金</w:t>
      </w:r>
      <w:r>
        <w:rPr>
          <w:rFonts w:ascii="仿宋_GB2312" w:hAnsi="宋体" w:eastAsia="仿宋_GB2312" w:cs="宋体"/>
          <w:color w:val="000000"/>
          <w:kern w:val="0"/>
          <w:sz w:val="32"/>
          <w:szCs w:val="32"/>
        </w:rPr>
        <w:t>相结合的技术创新体系。</w:t>
      </w:r>
      <w:r>
        <w:rPr>
          <w:rFonts w:hint="eastAsia" w:ascii="仿宋_GB2312" w:hAnsi="宋体" w:eastAsia="仿宋_GB2312" w:cs="宋体"/>
          <w:color w:val="000000"/>
          <w:kern w:val="0"/>
          <w:sz w:val="32"/>
          <w:szCs w:val="32"/>
        </w:rPr>
        <w:t>积极培育市场化新型研发组织、研发中介和研发服务外包新业态。建立家居设计、服装设计、食品设计等产业技术创新联盟和技术转化中心，共同打造校地、校企等各种层次的研究开发平台，提升产业创新能力。</w:t>
      </w:r>
    </w:p>
    <w:p>
      <w:pPr>
        <w:ind w:firstLine="643" w:firstLineChars="200"/>
        <w:rPr>
          <w:rFonts w:ascii="仿宋_GB2312" w:hAnsi="宋体" w:eastAsia="仿宋_GB2312" w:cs="宋体"/>
          <w:color w:val="000000"/>
          <w:kern w:val="0"/>
          <w:sz w:val="32"/>
          <w:szCs w:val="32"/>
        </w:rPr>
      </w:pPr>
      <w:bookmarkStart w:id="119" w:name="_Toc441572665"/>
      <w:bookmarkStart w:id="120" w:name="_Toc438675216"/>
      <w:r>
        <w:rPr>
          <w:rFonts w:hint="eastAsia" w:ascii="仿宋_GB2312" w:hAnsi="华文仿宋" w:eastAsia="仿宋_GB2312" w:cs="黑体"/>
          <w:b/>
          <w:sz w:val="32"/>
          <w:szCs w:val="32"/>
        </w:rPr>
        <w:t>引进培育创新型人才</w:t>
      </w:r>
      <w:bookmarkEnd w:id="119"/>
      <w:bookmarkEnd w:id="120"/>
      <w:r>
        <w:rPr>
          <w:rFonts w:hint="eastAsia" w:ascii="仿宋_GB2312" w:hAnsi="华文仿宋" w:eastAsia="仿宋_GB2312" w:cs="黑体"/>
          <w:b/>
          <w:sz w:val="32"/>
          <w:szCs w:val="32"/>
        </w:rPr>
        <w:t>。</w:t>
      </w:r>
      <w:r>
        <w:rPr>
          <w:rFonts w:hint="eastAsia" w:ascii="仿宋_GB2312" w:hAnsi="宋体" w:eastAsia="仿宋_GB2312" w:cs="宋体"/>
          <w:color w:val="000000"/>
          <w:kern w:val="0"/>
          <w:sz w:val="32"/>
          <w:szCs w:val="32"/>
        </w:rPr>
        <w:t>灵活采用以重大项目、产业联盟和创业基地等为载体的多种人才引进模式，吸引国内外一流的科技、管理人才。利用北京市、大兴区各类人才计划，引进和培养一批懂技术、懂市场、懂管理的复合型科技服务高端人才。鼓励各类单位探索建立创新型人才“柔性流动”和“柔性聘用”方式。坚持培养与使用相结合、创新与创业相结合、项目与计划资源相结合，通过项目带动、产学研用结合、国际合作交流等形式，培养造就一批具有国际水平的科技领军人才，建设一批具有国际先进、国内一流的实验室和科技人才培养示范基地。面向庞各庄镇主体产业发展需求，开展科技创新人才专业技术培训，提高从业人员的专业素质和能力水平。鼓励科技人员以智力和技术等多种要素形式参与创新收益分配，激发创新人才的创新热情和活力。</w:t>
      </w:r>
    </w:p>
    <w:p>
      <w:pPr>
        <w:pStyle w:val="3"/>
      </w:pPr>
      <w:bookmarkStart w:id="121" w:name="_Toc438675203"/>
      <w:bookmarkStart w:id="122" w:name="_Toc460947539"/>
      <w:bookmarkStart w:id="123" w:name="_Toc441572667"/>
      <w:bookmarkStart w:id="124" w:name="_Toc444603360"/>
      <w:r>
        <w:rPr>
          <w:rFonts w:hint="eastAsia"/>
        </w:rPr>
        <w:t>（二）实施“互联网</w:t>
      </w:r>
      <w:r>
        <w:t>+”行动</w:t>
      </w:r>
      <w:bookmarkEnd w:id="121"/>
      <w:bookmarkEnd w:id="122"/>
      <w:bookmarkEnd w:id="123"/>
      <w:bookmarkEnd w:id="124"/>
    </w:p>
    <w:p>
      <w:pPr>
        <w:ind w:firstLine="643" w:firstLineChars="200"/>
        <w:rPr>
          <w:rFonts w:ascii="仿宋_GB2312" w:hAnsi="宋体" w:eastAsia="仿宋_GB2312" w:cs="宋体"/>
          <w:color w:val="000000"/>
          <w:kern w:val="0"/>
          <w:sz w:val="32"/>
          <w:szCs w:val="32"/>
        </w:rPr>
      </w:pPr>
      <w:bookmarkStart w:id="125" w:name="_Toc438675205"/>
      <w:bookmarkStart w:id="126" w:name="_Toc441572668"/>
      <w:r>
        <w:rPr>
          <w:rFonts w:hint="eastAsia" w:ascii="仿宋_GB2312" w:hAnsi="华文仿宋" w:eastAsia="仿宋_GB2312" w:cs="黑体"/>
          <w:b/>
          <w:sz w:val="32"/>
          <w:szCs w:val="32"/>
        </w:rPr>
        <w:t>“互联网+”现代都市农业</w:t>
      </w:r>
      <w:bookmarkEnd w:id="125"/>
      <w:bookmarkEnd w:id="126"/>
      <w:r>
        <w:rPr>
          <w:rFonts w:hint="eastAsia" w:ascii="仿宋_GB2312" w:hAnsi="华文仿宋" w:eastAsia="仿宋_GB2312" w:cs="黑体"/>
          <w:b/>
          <w:sz w:val="32"/>
          <w:szCs w:val="32"/>
        </w:rPr>
        <w:t>。</w:t>
      </w:r>
      <w:r>
        <w:rPr>
          <w:rFonts w:ascii="仿宋_GB2312" w:hAnsi="宋体" w:eastAsia="仿宋_GB2312" w:cs="宋体"/>
          <w:color w:val="000000"/>
          <w:kern w:val="0"/>
          <w:sz w:val="32"/>
          <w:szCs w:val="32"/>
        </w:rPr>
        <w:t>应用物联网、云计算、大数据、移动互联等现代信息技术，推动农业全产业链改造升级。大力发展智慧气象和农业遥感技术应用。</w:t>
      </w:r>
      <w:r>
        <w:rPr>
          <w:rFonts w:hint="eastAsia" w:ascii="仿宋_GB2312" w:hAnsi="宋体" w:eastAsia="仿宋_GB2312" w:cs="宋体"/>
          <w:color w:val="000000"/>
          <w:kern w:val="44"/>
          <w:sz w:val="32"/>
          <w:szCs w:val="32"/>
        </w:rPr>
        <w:t>加快实现移动互联网、物联网、二维码等信息技术在特色农产品生产加工和流通销售环节的推广应用。积极推广“互联网</w:t>
      </w:r>
      <w:r>
        <w:rPr>
          <w:rFonts w:ascii="仿宋_GB2312" w:hAnsi="宋体" w:eastAsia="仿宋_GB2312" w:cs="宋体"/>
          <w:color w:val="000000"/>
          <w:kern w:val="44"/>
          <w:sz w:val="32"/>
          <w:szCs w:val="32"/>
        </w:rPr>
        <w:t>+农业+农村电商”模式。</w:t>
      </w:r>
      <w:r>
        <w:rPr>
          <w:rFonts w:hint="eastAsia" w:ascii="仿宋_GB2312" w:hAnsi="宋体" w:eastAsia="仿宋_GB2312" w:cs="宋体"/>
          <w:color w:val="000000"/>
          <w:kern w:val="0"/>
          <w:sz w:val="32"/>
          <w:szCs w:val="32"/>
        </w:rPr>
        <w:t>尽快建立庞各庄镇的农业云平台、农业物联网及农产品电子商务平台，增加农产品质量监控，减少农产品买卖中间环节，最大限度提高农民收益。</w:t>
      </w:r>
    </w:p>
    <w:p>
      <w:pPr>
        <w:ind w:firstLine="570"/>
        <w:rPr>
          <w:rFonts w:ascii="仿宋_GB2312" w:hAnsi="宋体" w:eastAsia="仿宋_GB2312" w:cs="宋体"/>
          <w:color w:val="000000"/>
          <w:kern w:val="0"/>
          <w:sz w:val="32"/>
          <w:szCs w:val="32"/>
        </w:rPr>
      </w:pPr>
      <w:bookmarkStart w:id="127" w:name="_Toc441572669"/>
      <w:r>
        <w:rPr>
          <w:rFonts w:ascii="仿宋_GB2312" w:hAnsi="华文仿宋" w:eastAsia="仿宋_GB2312" w:cs="黑体"/>
          <w:b/>
          <w:sz w:val="32"/>
          <w:szCs w:val="32"/>
        </w:rPr>
        <w:t>“互联网+”都市绿色低碳工业</w:t>
      </w:r>
      <w:bookmarkEnd w:id="127"/>
      <w:r>
        <w:rPr>
          <w:rFonts w:hint="eastAsia" w:ascii="仿宋_GB2312" w:hAnsi="华文仿宋" w:eastAsia="仿宋_GB2312" w:cs="黑体"/>
          <w:b/>
          <w:sz w:val="32"/>
          <w:szCs w:val="32"/>
        </w:rPr>
        <w:t>。</w:t>
      </w:r>
      <w:r>
        <w:rPr>
          <w:rFonts w:hint="eastAsia" w:ascii="仿宋_GB2312" w:hAnsi="宋体" w:eastAsia="仿宋_GB2312" w:cs="宋体"/>
          <w:color w:val="000000"/>
          <w:kern w:val="0"/>
          <w:sz w:val="32"/>
          <w:szCs w:val="32"/>
        </w:rPr>
        <w:t>应用“互联网</w:t>
      </w:r>
      <w:r>
        <w:rPr>
          <w:rFonts w:ascii="仿宋_GB2312" w:hAnsi="宋体" w:eastAsia="仿宋_GB2312" w:cs="宋体"/>
          <w:color w:val="000000"/>
          <w:kern w:val="0"/>
          <w:sz w:val="32"/>
          <w:szCs w:val="32"/>
        </w:rPr>
        <w:t>+”技术对现有传统工业进行改造升级，鼓励</w:t>
      </w:r>
      <w:r>
        <w:rPr>
          <w:rFonts w:hint="eastAsia" w:ascii="仿宋_GB2312" w:hAnsi="宋体" w:eastAsia="仿宋_GB2312" w:cs="宋体"/>
          <w:color w:val="000000"/>
          <w:kern w:val="0"/>
          <w:sz w:val="32"/>
          <w:szCs w:val="32"/>
        </w:rPr>
        <w:t>阀门总厂、博洛尼等龙头企业在生产过程和业务流程的信息化改造，提升数字化、网络化、智能化水平。通过“互联网</w:t>
      </w:r>
      <w:r>
        <w:rPr>
          <w:rFonts w:ascii="仿宋_GB2312" w:hAnsi="宋体" w:eastAsia="仿宋_GB2312" w:cs="宋体"/>
          <w:color w:val="000000"/>
          <w:kern w:val="0"/>
          <w:sz w:val="32"/>
          <w:szCs w:val="32"/>
        </w:rPr>
        <w:t>+”对工业产品的生产、流通及销售流程进行现代信息手段的再造，在特色农产品加工、绿色食品、家</w:t>
      </w:r>
      <w:r>
        <w:rPr>
          <w:rFonts w:hint="eastAsia" w:ascii="仿宋_GB2312" w:hAnsi="宋体" w:eastAsia="仿宋_GB2312" w:cs="宋体"/>
          <w:color w:val="000000"/>
          <w:kern w:val="0"/>
          <w:sz w:val="32"/>
          <w:szCs w:val="32"/>
        </w:rPr>
        <w:t>居</w:t>
      </w:r>
      <w:r>
        <w:rPr>
          <w:rFonts w:ascii="仿宋_GB2312" w:hAnsi="宋体" w:eastAsia="仿宋_GB2312" w:cs="宋体"/>
          <w:color w:val="000000"/>
          <w:kern w:val="0"/>
          <w:sz w:val="32"/>
          <w:szCs w:val="32"/>
        </w:rPr>
        <w:t>、服装等领域鼓励信息化应用和个性化定制，实现工业绿色低碳发展。鼓励企业通过自建或借助现有的“众包”平台，发布产品研发创意等设计需求，广泛收集客户和外部人员的创意与智慧，扩展创意来源。</w:t>
      </w:r>
    </w:p>
    <w:p>
      <w:pPr>
        <w:ind w:firstLine="570"/>
        <w:rPr>
          <w:rFonts w:ascii="仿宋_GB2312" w:hAnsi="宋体" w:eastAsia="仿宋_GB2312" w:cs="宋体"/>
          <w:color w:val="000000"/>
          <w:kern w:val="0"/>
          <w:sz w:val="32"/>
          <w:szCs w:val="32"/>
        </w:rPr>
      </w:pPr>
      <w:bookmarkStart w:id="128" w:name="_Toc441572670"/>
      <w:r>
        <w:rPr>
          <w:rFonts w:ascii="仿宋_GB2312" w:hAnsi="华文仿宋" w:eastAsia="仿宋_GB2312" w:cs="黑体"/>
          <w:b/>
          <w:sz w:val="32"/>
          <w:szCs w:val="32"/>
        </w:rPr>
        <w:t>“互联网+”临空服务业</w:t>
      </w:r>
      <w:bookmarkEnd w:id="128"/>
      <w:r>
        <w:rPr>
          <w:rFonts w:hint="eastAsia" w:ascii="仿宋_GB2312" w:hAnsi="华文仿宋" w:eastAsia="仿宋_GB2312" w:cs="黑体"/>
          <w:b/>
          <w:sz w:val="32"/>
          <w:szCs w:val="32"/>
        </w:rPr>
        <w:t>。</w:t>
      </w:r>
      <w:r>
        <w:rPr>
          <w:rFonts w:hint="eastAsia" w:ascii="仿宋_GB2312" w:hAnsi="宋体" w:eastAsia="仿宋_GB2312" w:cs="宋体"/>
          <w:color w:val="000000"/>
          <w:kern w:val="0"/>
          <w:sz w:val="32"/>
          <w:szCs w:val="32"/>
        </w:rPr>
        <w:t>推进互联网技术在商务商贸服务的广泛应用，创新发展O2O、OTT、OTA等新的商业模式。构建智能导游、在线预订、信息推送等智慧旅游信息体系。建设全镇旅游景区游客流量动态监测系统，实时提供游客数量、游客分布、客源分析、游客行为分析和预警监控等服务。</w:t>
      </w:r>
    </w:p>
    <w:p>
      <w:pPr>
        <w:pStyle w:val="3"/>
      </w:pPr>
      <w:bookmarkStart w:id="129" w:name="_Toc438675220"/>
      <w:bookmarkStart w:id="130" w:name="_Toc444603361"/>
      <w:bookmarkStart w:id="131" w:name="_Toc460947540"/>
      <w:bookmarkStart w:id="132" w:name="_Toc441572671"/>
      <w:r>
        <w:rPr>
          <w:rFonts w:hint="eastAsia"/>
        </w:rPr>
        <w:t>（三</w:t>
      </w:r>
      <w:bookmarkEnd w:id="129"/>
      <w:bookmarkStart w:id="133" w:name="_Toc438675224"/>
      <w:r>
        <w:rPr>
          <w:rFonts w:hint="eastAsia"/>
        </w:rPr>
        <w:t>）推进重点领域改革突破</w:t>
      </w:r>
      <w:bookmarkEnd w:id="130"/>
      <w:bookmarkEnd w:id="131"/>
      <w:bookmarkEnd w:id="132"/>
      <w:bookmarkEnd w:id="133"/>
    </w:p>
    <w:p>
      <w:pPr>
        <w:keepNext/>
        <w:keepLines/>
        <w:spacing w:before="260" w:after="260" w:line="416" w:lineRule="auto"/>
        <w:ind w:firstLine="643" w:firstLineChars="200"/>
        <w:outlineLvl w:val="2"/>
        <w:rPr>
          <w:rFonts w:ascii="仿宋_GB2312" w:hAnsi="华文仿宋" w:eastAsia="仿宋_GB2312" w:cs="黑体"/>
          <w:b/>
          <w:sz w:val="32"/>
          <w:szCs w:val="32"/>
        </w:rPr>
      </w:pPr>
      <w:bookmarkStart w:id="134" w:name="_Toc438675225"/>
      <w:bookmarkStart w:id="135" w:name="_Toc441572672"/>
      <w:r>
        <w:rPr>
          <w:rFonts w:hint="eastAsia" w:ascii="仿宋_GB2312" w:hAnsi="华文仿宋" w:eastAsia="仿宋_GB2312" w:cs="黑体"/>
          <w:b/>
          <w:sz w:val="32"/>
          <w:szCs w:val="32"/>
        </w:rPr>
        <w:t>1、推进行政体制机制改革</w:t>
      </w:r>
      <w:bookmarkEnd w:id="134"/>
      <w:bookmarkEnd w:id="135"/>
    </w:p>
    <w:p>
      <w:pPr>
        <w:ind w:firstLine="562"/>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进一步深化行政管理体制改革，做好北京市、大兴区取消行政审批事项的衔接工作，落实好规定</w:t>
      </w:r>
      <w:r>
        <w:rPr>
          <w:rFonts w:ascii="仿宋_GB2312" w:hAnsi="宋体" w:eastAsia="仿宋_GB2312" w:cs="宋体"/>
          <w:color w:val="000000"/>
          <w:kern w:val="0"/>
          <w:sz w:val="32"/>
          <w:szCs w:val="32"/>
        </w:rPr>
        <w:t>取消的审批事项</w:t>
      </w:r>
      <w:r>
        <w:rPr>
          <w:rFonts w:hint="eastAsia" w:ascii="仿宋_GB2312" w:hAnsi="宋体" w:eastAsia="仿宋_GB2312" w:cs="宋体"/>
          <w:color w:val="000000"/>
          <w:kern w:val="0"/>
          <w:sz w:val="32"/>
          <w:szCs w:val="32"/>
        </w:rPr>
        <w:t>，规范新承接行政审批事项的受理和审批管理，理顺部门职责。推进政府管理创新，健全人人负责、层层负责、环环相扣、科学合理、行之有效的工作责任制。</w:t>
      </w:r>
    </w:p>
    <w:p>
      <w:pPr>
        <w:ind w:firstLine="42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rPr>
        <w:t>全面推进惩治和预防腐败体系建设，健全改进作风长效机制，强化制度对权力的监督制约。严肃政治、组织、工作、财经纪律，加大明察暗访和整治处理力度，做到干部清正、政府清廉、政治清明。</w:t>
      </w:r>
    </w:p>
    <w:p>
      <w:pPr>
        <w:ind w:firstLine="42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 xml:space="preserve"> </w:t>
      </w:r>
      <w:r>
        <w:rPr>
          <w:rFonts w:hint="eastAsia" w:ascii="仿宋_GB2312" w:hAnsi="宋体" w:eastAsia="仿宋_GB2312" w:cs="宋体"/>
          <w:color w:val="000000"/>
          <w:kern w:val="0"/>
          <w:sz w:val="32"/>
          <w:szCs w:val="32"/>
        </w:rPr>
        <w:t>创新完善督查考核机制，完善监督考核评价体系，有效提高政府的执行力和工作效能，保证各项工作任务的落实。完善重大事项和重点工作跟踪落实机制，确保政令畅通、令行禁止。</w:t>
      </w:r>
    </w:p>
    <w:p>
      <w:pPr>
        <w:keepNext/>
        <w:keepLines/>
        <w:spacing w:before="260" w:after="260" w:line="416" w:lineRule="auto"/>
        <w:ind w:firstLine="643" w:firstLineChars="200"/>
        <w:outlineLvl w:val="2"/>
        <w:rPr>
          <w:rFonts w:ascii="仿宋_GB2312" w:hAnsi="华文仿宋" w:eastAsia="仿宋_GB2312" w:cs="黑体"/>
          <w:b/>
          <w:sz w:val="32"/>
          <w:szCs w:val="32"/>
        </w:rPr>
      </w:pPr>
      <w:bookmarkStart w:id="136" w:name="_Toc441572673"/>
      <w:bookmarkStart w:id="137" w:name="_Toc438675226"/>
      <w:r>
        <w:rPr>
          <w:rFonts w:ascii="仿宋_GB2312" w:hAnsi="华文仿宋" w:eastAsia="仿宋_GB2312" w:cs="黑体"/>
          <w:b/>
          <w:sz w:val="32"/>
          <w:szCs w:val="32"/>
        </w:rPr>
        <w:t>2、</w:t>
      </w:r>
      <w:r>
        <w:rPr>
          <w:rFonts w:hint="eastAsia" w:ascii="仿宋_GB2312" w:hAnsi="华文仿宋" w:eastAsia="仿宋_GB2312" w:cs="黑体"/>
          <w:b/>
          <w:sz w:val="32"/>
          <w:szCs w:val="32"/>
        </w:rPr>
        <w:t>先行先试农村土地制度改革</w:t>
      </w:r>
      <w:bookmarkEnd w:id="136"/>
      <w:bookmarkEnd w:id="137"/>
    </w:p>
    <w:p>
      <w:pPr>
        <w:rPr>
          <w:rFonts w:ascii="仿宋_GB2312" w:hAnsi="宋体" w:eastAsia="仿宋_GB2312" w:cs="宋体"/>
          <w:color w:val="000000"/>
          <w:kern w:val="0"/>
          <w:sz w:val="32"/>
          <w:szCs w:val="32"/>
        </w:rPr>
      </w:pPr>
      <w:r>
        <w:rPr>
          <w:rFonts w:ascii="仿宋_GB2312" w:hAnsi="宋体" w:eastAsia="仿宋_GB2312" w:cs="宋体"/>
          <w:b/>
          <w:color w:val="000000"/>
          <w:kern w:val="0"/>
          <w:sz w:val="32"/>
          <w:szCs w:val="32"/>
        </w:rPr>
        <w:t xml:space="preserve">    </w:t>
      </w:r>
      <w:r>
        <w:rPr>
          <w:rFonts w:hint="eastAsia" w:ascii="仿宋_GB2312" w:hAnsi="宋体" w:eastAsia="仿宋_GB2312" w:cs="宋体"/>
          <w:color w:val="000000"/>
          <w:kern w:val="0"/>
          <w:sz w:val="32"/>
          <w:szCs w:val="32"/>
        </w:rPr>
        <w:t>积极构建平等进入、公平交易的土地市场，探索农村集体经营性建设用地出让、租赁、入股等新模式，实行与国有土地同等入市、同权同价，积极推动其直接入市。</w:t>
      </w:r>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建立宅基地权益保障机制，使村民在退出宅基地迁入镇中心居住时能够得到利益补偿。研究建立合理的征地补偿和利益分享机制，集体建设用地的大部分收益以股份的形式分配给本集体经济组织的成员。正确引导被征地村委会成立实体企业，探索“企业</w:t>
      </w:r>
      <w:r>
        <w:rPr>
          <w:rFonts w:ascii="仿宋_GB2312" w:hAnsi="宋体" w:eastAsia="仿宋_GB2312" w:cs="宋体"/>
          <w:color w:val="000000"/>
          <w:kern w:val="0"/>
          <w:sz w:val="32"/>
          <w:szCs w:val="32"/>
        </w:rPr>
        <w:t>+合作社（集体）+农户”模式，利用预留用地自主开发或与企业合作，增加村集体经济收入。建立健全农民所持集体股份的退出机制。总结农村集体经营性建设用地入市改革试点经验，适当提高农民集体和个人分享的增值收益。</w:t>
      </w:r>
    </w:p>
    <w:p>
      <w:pPr>
        <w:keepNext/>
        <w:keepLines/>
        <w:spacing w:before="260" w:after="260" w:line="416" w:lineRule="auto"/>
        <w:ind w:firstLine="643" w:firstLineChars="200"/>
        <w:outlineLvl w:val="2"/>
        <w:rPr>
          <w:rFonts w:ascii="仿宋_GB2312" w:hAnsi="华文仿宋" w:eastAsia="仿宋_GB2312" w:cs="黑体"/>
          <w:b/>
          <w:sz w:val="32"/>
          <w:szCs w:val="32"/>
        </w:rPr>
      </w:pPr>
      <w:bookmarkStart w:id="138" w:name="_Toc441572674"/>
      <w:bookmarkStart w:id="139" w:name="_Toc438675227"/>
      <w:r>
        <w:rPr>
          <w:rFonts w:ascii="仿宋_GB2312" w:hAnsi="华文仿宋" w:eastAsia="仿宋_GB2312" w:cs="黑体"/>
          <w:b/>
          <w:sz w:val="32"/>
          <w:szCs w:val="32"/>
        </w:rPr>
        <w:t>3、</w:t>
      </w:r>
      <w:r>
        <w:rPr>
          <w:rFonts w:hint="eastAsia" w:ascii="仿宋_GB2312" w:hAnsi="华文仿宋" w:eastAsia="仿宋_GB2312" w:cs="黑体"/>
          <w:b/>
          <w:sz w:val="32"/>
          <w:szCs w:val="32"/>
        </w:rPr>
        <w:t>创新新型城镇化建设投融资机制</w:t>
      </w:r>
      <w:bookmarkEnd w:id="138"/>
      <w:bookmarkEnd w:id="139"/>
    </w:p>
    <w:p>
      <w:pPr>
        <w:ind w:firstLine="57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落实有利于新型城镇化建设投融资的财税政策、金融政策与产业政策，通过政策导向，引导全社会的资金向城镇化建设倾斜。积极推进政府和企业合作</w:t>
      </w:r>
      <w:r>
        <w:rPr>
          <w:rFonts w:ascii="仿宋_GB2312" w:hAnsi="宋体" w:eastAsia="仿宋_GB2312" w:cs="宋体"/>
          <w:color w:val="000000"/>
          <w:kern w:val="0"/>
          <w:sz w:val="32"/>
          <w:szCs w:val="32"/>
        </w:rPr>
        <w:t xml:space="preserve">(PPP), </w:t>
      </w:r>
      <w:r>
        <w:rPr>
          <w:rFonts w:hint="eastAsia" w:ascii="仿宋_GB2312" w:hAnsi="宋体" w:eastAsia="仿宋_GB2312" w:cs="宋体"/>
          <w:kern w:val="0"/>
          <w:sz w:val="32"/>
          <w:szCs w:val="32"/>
        </w:rPr>
        <w:t>创新政府和社会资本合作模式，发挥政府</w:t>
      </w:r>
      <w:r>
        <w:rPr>
          <w:rFonts w:hint="eastAsia" w:ascii="仿宋_GB2312" w:hAnsi="宋体" w:eastAsia="仿宋_GB2312" w:cs="宋体"/>
          <w:color w:val="000000"/>
          <w:kern w:val="0"/>
          <w:sz w:val="32"/>
          <w:szCs w:val="32"/>
        </w:rPr>
        <w:t>财政在融资过程中的引导和杠杆作用，引导民营资本和外资共同参与城镇化建设，充分发挥民营资本和外资在基础设施建设中发挥积极作用，鼓励民间资本参与城市道路、综合交通枢纽、通信、污水处理、固废处理、镇域供热等重大基础设施建设，引导城镇化投资主体多元化、城镇化融资方式多样化。积极为公益性项目提供信用担保，引导社会资本投资准经营性项目，支持各类产业基金、民间资本投资经营性项目。健全投资合理回报补偿机制，推动公共资源公平性、竞争性配置。</w:t>
      </w:r>
    </w:p>
    <w:p>
      <w:pPr>
        <w:pStyle w:val="3"/>
        <w:rPr>
          <w:rFonts w:ascii="华文中宋" w:hAnsi="华文中宋"/>
        </w:rPr>
      </w:pPr>
      <w:bookmarkStart w:id="140" w:name="_Toc460947541"/>
      <w:bookmarkStart w:id="141" w:name="_Toc441572676"/>
      <w:bookmarkStart w:id="142" w:name="_Toc444603362"/>
      <w:bookmarkStart w:id="143" w:name="_Toc438675229"/>
      <w:r>
        <w:rPr>
          <w:rFonts w:hint="eastAsia" w:ascii="华文中宋" w:hAnsi="华文中宋"/>
        </w:rPr>
        <w:t>（四）构建开放合作交流新格局</w:t>
      </w:r>
      <w:bookmarkEnd w:id="140"/>
      <w:bookmarkEnd w:id="141"/>
      <w:bookmarkEnd w:id="142"/>
      <w:bookmarkEnd w:id="143"/>
    </w:p>
    <w:p>
      <w:pPr>
        <w:ind w:firstLine="562"/>
        <w:rPr>
          <w:rFonts w:ascii="仿宋_GB2312" w:hAnsi="宋体" w:eastAsia="仿宋_GB2312" w:cs="宋体"/>
          <w:color w:val="000000"/>
          <w:kern w:val="0"/>
          <w:sz w:val="32"/>
          <w:szCs w:val="32"/>
        </w:rPr>
      </w:pPr>
      <w:bookmarkStart w:id="144" w:name="_Toc438675230"/>
      <w:bookmarkStart w:id="145" w:name="_Toc441572677"/>
      <w:r>
        <w:rPr>
          <w:rFonts w:hint="eastAsia" w:ascii="仿宋_GB2312" w:hAnsi="华文仿宋" w:eastAsia="仿宋_GB2312" w:cs="黑体"/>
          <w:b/>
          <w:sz w:val="32"/>
          <w:szCs w:val="32"/>
        </w:rPr>
        <w:t>加强国际交流合作</w:t>
      </w:r>
      <w:bookmarkEnd w:id="144"/>
      <w:bookmarkEnd w:id="145"/>
      <w:r>
        <w:rPr>
          <w:rFonts w:hint="eastAsia" w:ascii="仿宋_GB2312" w:hAnsi="华文仿宋" w:eastAsia="仿宋_GB2312" w:cs="黑体"/>
          <w:b/>
          <w:sz w:val="32"/>
          <w:szCs w:val="32"/>
        </w:rPr>
        <w:t>。</w:t>
      </w:r>
      <w:r>
        <w:rPr>
          <w:rFonts w:hint="eastAsia" w:ascii="仿宋_GB2312" w:hAnsi="宋体" w:eastAsia="仿宋_GB2312" w:cs="宋体"/>
          <w:color w:val="000000"/>
          <w:kern w:val="0"/>
          <w:sz w:val="32"/>
          <w:szCs w:val="32"/>
        </w:rPr>
        <w:t>围绕北京新机场建设，扩大对外开放范围和力度，营造国际化的开放发展环境，在服务贸易、航空服务、金融创新、跨境电子商务等方面开拓创新，促进国内外要素资源双向流动。支持企业“走出去”，鼓励企业通过联合经营、设立研发机构或分支机构等方式开拓国际市场，扶持企业参加具有国际影响力的会展，提升国际创新资源获取能力。鼓励企业通过开展重大科研项目研究、共建实验室、国际学术交流与国际合作等方式，与国外重点大学、科研院所共同培养研发人才，促进高端人才参加国外技术交流培训。以庞各庄西瓜节等重大节庆活动为平台，积极开展融合科技元素、具有文化特色的国际活动，着力打造具有北京特色、世界水准的品牌活动。</w:t>
      </w:r>
    </w:p>
    <w:p>
      <w:pPr>
        <w:ind w:firstLine="643" w:firstLineChars="200"/>
        <w:rPr>
          <w:rFonts w:ascii="仿宋_GB2312" w:hAnsi="宋体" w:eastAsia="仿宋_GB2312" w:cs="宋体"/>
          <w:color w:val="000000"/>
          <w:kern w:val="0"/>
          <w:sz w:val="32"/>
          <w:szCs w:val="32"/>
        </w:rPr>
      </w:pPr>
      <w:bookmarkStart w:id="146" w:name="_Toc438675231"/>
      <w:bookmarkStart w:id="147" w:name="_Toc441572678"/>
      <w:r>
        <w:rPr>
          <w:rFonts w:hint="eastAsia" w:ascii="仿宋_GB2312" w:hAnsi="华文仿宋" w:eastAsia="仿宋_GB2312" w:cs="黑体"/>
          <w:b/>
          <w:sz w:val="32"/>
          <w:szCs w:val="32"/>
        </w:rPr>
        <w:t>推进区域联动合作</w:t>
      </w:r>
      <w:bookmarkEnd w:id="146"/>
      <w:bookmarkEnd w:id="147"/>
      <w:r>
        <w:rPr>
          <w:rFonts w:hint="eastAsia" w:ascii="仿宋_GB2312" w:hAnsi="华文仿宋" w:eastAsia="仿宋_GB2312" w:cs="黑体"/>
          <w:b/>
          <w:sz w:val="32"/>
          <w:szCs w:val="32"/>
        </w:rPr>
        <w:t>。</w:t>
      </w:r>
      <w:r>
        <w:rPr>
          <w:rFonts w:hint="eastAsia" w:ascii="仿宋_GB2312" w:hAnsi="宋体" w:eastAsia="仿宋_GB2312" w:cs="宋体"/>
          <w:color w:val="000000"/>
          <w:kern w:val="0"/>
          <w:sz w:val="32"/>
          <w:szCs w:val="32"/>
        </w:rPr>
        <w:t>以自身优势资源及领域为基础，积极与廊坊、永清、固安、武清等县市及大兴区各乡镇开展广泛的交流与合作，促进资源要素合理流动和优化配置，实现产业互动、布局互联、协调发展，强化庞各庄镇特色优势领域在区域内的影响力。加快推进基础设施对接，构建区域内共建共享及利益协调机制，加强在规划、产业、项目、企业等方面的联动。尽快形成“新航城”建设与周边乡镇产业分工协作和产业链配套机制，努力建设跨区域的航空经济产业基地。</w:t>
      </w:r>
    </w:p>
    <w:p>
      <w:pPr>
        <w:ind w:firstLine="643" w:firstLineChars="200"/>
        <w:rPr>
          <w:rFonts w:ascii="仿宋_GB2312" w:hAnsi="宋体" w:eastAsia="仿宋_GB2312" w:cs="宋体"/>
          <w:color w:val="000000"/>
          <w:kern w:val="0"/>
          <w:sz w:val="32"/>
          <w:szCs w:val="32"/>
        </w:rPr>
      </w:pPr>
      <w:bookmarkStart w:id="148" w:name="_Toc438675232"/>
      <w:bookmarkStart w:id="149" w:name="_Toc441572679"/>
      <w:r>
        <w:rPr>
          <w:rFonts w:hint="eastAsia" w:ascii="仿宋_GB2312" w:hAnsi="华文仿宋" w:eastAsia="仿宋_GB2312" w:cs="黑体"/>
          <w:b/>
          <w:sz w:val="32"/>
          <w:szCs w:val="32"/>
        </w:rPr>
        <w:t>创新招商择资合作模式</w:t>
      </w:r>
      <w:bookmarkEnd w:id="148"/>
      <w:bookmarkEnd w:id="149"/>
      <w:r>
        <w:rPr>
          <w:rFonts w:hint="eastAsia" w:ascii="仿宋_GB2312" w:hAnsi="华文仿宋" w:eastAsia="仿宋_GB2312" w:cs="黑体"/>
          <w:b/>
          <w:sz w:val="32"/>
          <w:szCs w:val="32"/>
        </w:rPr>
        <w:t>。</w:t>
      </w:r>
      <w:r>
        <w:rPr>
          <w:rFonts w:hint="eastAsia" w:ascii="仿宋_GB2312" w:hAnsi="宋体" w:eastAsia="仿宋_GB2312" w:cs="宋体"/>
          <w:color w:val="000000"/>
          <w:kern w:val="0"/>
          <w:sz w:val="32"/>
          <w:szCs w:val="32"/>
        </w:rPr>
        <w:t>积极融入京津冀协同发展大平台，利用“一带一路”、中韩、中澳自贸区等国家战略带来的重大机遇，拓展合作领域，创新合作模式，建立全方位、宽领域、多方面的经贸合作新机制。加快建立“备案</w:t>
      </w:r>
      <w:r>
        <w:rPr>
          <w:rFonts w:ascii="仿宋_GB2312" w:hAnsi="宋体" w:eastAsia="仿宋_GB2312" w:cs="宋体"/>
          <w:color w:val="000000"/>
          <w:kern w:val="0"/>
          <w:sz w:val="32"/>
          <w:szCs w:val="32"/>
        </w:rPr>
        <w:t>+审批”的新的管理模式，探索推行外资准入前“国民待遇+负面清单”管理模式，放宽外商投资市场准入，</w:t>
      </w:r>
      <w:r>
        <w:rPr>
          <w:rFonts w:hint="eastAsia" w:ascii="仿宋_GB2312" w:hAnsi="宋体" w:eastAsia="仿宋_GB2312" w:cs="宋体"/>
          <w:color w:val="000000"/>
          <w:kern w:val="0"/>
          <w:sz w:val="32"/>
          <w:szCs w:val="32"/>
        </w:rPr>
        <w:t>扩大服务业对外开放。完善精准招商制度，积极吸引能够带来高端要素和产业价值链高端环节的外资，重点推进在高端服务业、文化创意产业、城市精细化管理等领域的深层次合作。加快实施“走出去”战略，积极转换企业境外投资理念，鼓励和引导企业从单纯产品输出向资本输出、技术输出、标准输出和品牌营销并重转变。推动对外贸易从“大进大出”转向“优进优出”，形成开放型经济新格局。</w:t>
      </w:r>
    </w:p>
    <w:p>
      <w:pPr>
        <w:pStyle w:val="2"/>
        <w:jc w:val="left"/>
        <w:rPr>
          <w:sz w:val="36"/>
          <w:szCs w:val="36"/>
        </w:rPr>
      </w:pPr>
      <w:bookmarkStart w:id="150" w:name="_Toc460947542"/>
      <w:bookmarkStart w:id="151" w:name="_Toc441572681"/>
      <w:bookmarkStart w:id="152" w:name="_Toc444603363"/>
      <w:bookmarkStart w:id="153" w:name="_Toc437173168"/>
      <w:r>
        <w:rPr>
          <w:rFonts w:hint="eastAsia"/>
          <w:sz w:val="36"/>
          <w:szCs w:val="36"/>
        </w:rPr>
        <w:t>八、落实规划保障措施</w:t>
      </w:r>
      <w:bookmarkEnd w:id="150"/>
      <w:bookmarkEnd w:id="151"/>
      <w:bookmarkEnd w:id="152"/>
      <w:bookmarkEnd w:id="153"/>
    </w:p>
    <w:p>
      <w:pPr>
        <w:pStyle w:val="3"/>
      </w:pPr>
      <w:bookmarkStart w:id="154" w:name="_Toc444603364"/>
      <w:bookmarkStart w:id="155" w:name="_Toc441572682"/>
      <w:bookmarkStart w:id="156" w:name="_Toc460947543"/>
      <w:r>
        <w:rPr>
          <w:rFonts w:hint="eastAsia"/>
        </w:rPr>
        <w:t>（一）</w:t>
      </w:r>
      <w:bookmarkEnd w:id="154"/>
      <w:bookmarkEnd w:id="155"/>
      <w:r>
        <w:rPr>
          <w:rFonts w:hint="eastAsia"/>
        </w:rPr>
        <w:t>发挥党的领导核心作用</w:t>
      </w:r>
      <w:bookmarkEnd w:id="156"/>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把党的领导贯彻到“十三五”规划实施全过程，建立健全党委统一领导，人大、政府、政协、司法机关各司其职，人民群众广泛参与的法治建设推进机制，确保“十三五”规划各项措施落到实处。</w:t>
      </w:r>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推进学习型党组织建设，加强和改进干部教育培训，注重实践锻炼，增强领导班子和领导干部推动科学发展、促进社会和谐的能力。</w:t>
      </w:r>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强化社区党组织建设，加大非公有制经济、社会组织党建工作力度，全面推进各领域基层党建工作，提高基层党组织的创造力、凝聚力和战斗力。</w:t>
      </w:r>
    </w:p>
    <w:p>
      <w:pPr>
        <w:pStyle w:val="3"/>
      </w:pPr>
      <w:bookmarkStart w:id="157" w:name="_Toc441572683"/>
      <w:bookmarkStart w:id="158" w:name="_Toc444603365"/>
      <w:bookmarkStart w:id="159" w:name="_Toc460947544"/>
      <w:r>
        <w:rPr>
          <w:rFonts w:hint="eastAsia"/>
        </w:rPr>
        <w:t>（二）</w:t>
      </w:r>
      <w:bookmarkEnd w:id="157"/>
      <w:bookmarkEnd w:id="158"/>
      <w:r>
        <w:rPr>
          <w:rFonts w:hint="eastAsia"/>
        </w:rPr>
        <w:t>完善规划实施协调机制</w:t>
      </w:r>
      <w:bookmarkEnd w:id="159"/>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成立由镇主要领导任组长，主管规划、建设、经济、环保等工作的副镇长任副组长，各职能科室负责人组成的规划实施领导小组。领导小组要针对规划中提到的主要目标任务，制定任务分解落实方案，增加政府履行职责的约束性指标，明确责任人，加强分类指导和整体推进，保障规划目标任务落到实处。</w:t>
      </w:r>
    </w:p>
    <w:p>
      <w:pPr>
        <w:rPr>
          <w:rFonts w:ascii="仿宋_GB2312" w:hAnsi="宋体" w:eastAsia="仿宋_GB2312" w:cs="宋体"/>
          <w:color w:val="000000"/>
          <w:kern w:val="0"/>
          <w:sz w:val="32"/>
          <w:szCs w:val="32"/>
        </w:rPr>
      </w:pPr>
      <w:r>
        <w:rPr>
          <w:rFonts w:hint="eastAsia" w:ascii="仿宋_GB2312" w:hAnsi="宋体" w:eastAsia="仿宋_GB2312" w:cs="宋体"/>
          <w:b/>
          <w:color w:val="000000"/>
          <w:kern w:val="0"/>
          <w:sz w:val="32"/>
          <w:szCs w:val="32"/>
        </w:rPr>
        <w:t xml:space="preserve">  </w:t>
      </w:r>
      <w:r>
        <w:rPr>
          <w:rFonts w:hint="eastAsia" w:ascii="仿宋_GB2312" w:hAnsi="宋体" w:eastAsia="仿宋_GB2312" w:cs="宋体"/>
          <w:color w:val="000000"/>
          <w:kern w:val="0"/>
          <w:sz w:val="32"/>
          <w:szCs w:val="32"/>
        </w:rPr>
        <w:t xml:space="preserve">  成立多规合一协调机构，负责协调各部门的利益，组织开展“多规合一”的工作，统揽国民经济与社会发展、土地利用、城乡发展规划、交通规划、生态保护规划等多项规划，指导和协调庞各庄镇“十三五”规划工作的实施。</w:t>
      </w:r>
    </w:p>
    <w:p>
      <w:pPr>
        <w:ind w:firstLine="640" w:firstLineChars="200"/>
        <w:rPr>
          <w:rFonts w:ascii="仿宋_GB2312" w:hAnsi="宋体" w:eastAsia="仿宋_GB2312" w:cs="宋体"/>
          <w:color w:val="000000"/>
          <w:kern w:val="0"/>
          <w:sz w:val="32"/>
          <w:szCs w:val="32"/>
        </w:rPr>
      </w:pPr>
      <w:r>
        <w:rPr>
          <w:rFonts w:hint="eastAsia" w:ascii="仿宋_GB2312" w:hAnsi="仿宋" w:eastAsia="仿宋_GB2312" w:cs="宋体"/>
          <w:color w:val="000000"/>
          <w:kern w:val="0"/>
          <w:sz w:val="32"/>
          <w:szCs w:val="32"/>
        </w:rPr>
        <w:t>通过电视、广播、网络、报刊、杂志等传统媒体，积极应用微信、微博等新媒体，广泛开展</w:t>
      </w:r>
      <w:r>
        <w:rPr>
          <w:rFonts w:hint="eastAsia" w:ascii="仿宋_GB2312" w:hAnsi="宋体" w:eastAsia="仿宋_GB2312" w:cs="宋体"/>
          <w:color w:val="000000"/>
          <w:kern w:val="0"/>
          <w:sz w:val="32"/>
          <w:szCs w:val="32"/>
        </w:rPr>
        <w:t>对庞各庄镇“十三五”规划的宣传。</w:t>
      </w:r>
      <w:r>
        <w:rPr>
          <w:rFonts w:hint="eastAsia" w:ascii="仿宋_GB2312" w:hAnsi="仿宋" w:eastAsia="仿宋_GB2312" w:cs="宋体"/>
          <w:color w:val="000000"/>
          <w:kern w:val="0"/>
          <w:sz w:val="32"/>
          <w:szCs w:val="32"/>
        </w:rPr>
        <w:t>将 “十三五”重点项目及惠民工程列出实施和完成时间表，向全镇民众</w:t>
      </w:r>
      <w:r>
        <w:rPr>
          <w:rFonts w:hint="eastAsia" w:ascii="仿宋_GB2312" w:hAnsi="宋体" w:eastAsia="仿宋_GB2312" w:cs="宋体"/>
          <w:color w:val="000000"/>
          <w:kern w:val="0"/>
          <w:sz w:val="32"/>
          <w:szCs w:val="32"/>
        </w:rPr>
        <w:t>定期</w:t>
      </w:r>
      <w:r>
        <w:rPr>
          <w:rFonts w:hint="eastAsia" w:ascii="仿宋_GB2312" w:hAnsi="仿宋" w:eastAsia="仿宋_GB2312" w:cs="宋体"/>
          <w:color w:val="000000"/>
          <w:kern w:val="0"/>
          <w:sz w:val="32"/>
          <w:szCs w:val="32"/>
        </w:rPr>
        <w:t>公</w:t>
      </w:r>
      <w:r>
        <w:rPr>
          <w:rFonts w:hint="eastAsia" w:ascii="仿宋_GB2312" w:hAnsi="宋体" w:eastAsia="仿宋_GB2312" w:cs="宋体"/>
          <w:color w:val="000000"/>
          <w:kern w:val="0"/>
          <w:sz w:val="32"/>
          <w:szCs w:val="32"/>
        </w:rPr>
        <w:t>布开发进程，通过发展目标的落实，不断增强全镇民众的幸福指数、自豪感和满意度。</w:t>
      </w:r>
    </w:p>
    <w:p>
      <w:pPr>
        <w:pStyle w:val="3"/>
      </w:pPr>
      <w:bookmarkStart w:id="160" w:name="_Toc444603368"/>
      <w:bookmarkStart w:id="161" w:name="_Toc460947545"/>
      <w:r>
        <w:rPr>
          <w:rFonts w:hint="eastAsia"/>
        </w:rPr>
        <w:t>（</w:t>
      </w:r>
      <w:r>
        <w:fldChar w:fldCharType="begin"/>
      </w:r>
      <w:r>
        <w:instrText xml:space="preserve"> HYPERLINK \l "_Toc427589579" </w:instrText>
      </w:r>
      <w:r>
        <w:fldChar w:fldCharType="separate"/>
      </w:r>
      <w:bookmarkStart w:id="162" w:name="_Toc441572686"/>
      <w:r>
        <w:rPr>
          <w:rFonts w:hint="eastAsia"/>
        </w:rPr>
        <w:t>三）</w:t>
      </w:r>
      <w:bookmarkEnd w:id="160"/>
      <w:bookmarkEnd w:id="162"/>
      <w:r>
        <w:rPr>
          <w:rFonts w:hint="eastAsia"/>
        </w:rPr>
        <w:fldChar w:fldCharType="end"/>
      </w:r>
      <w:r>
        <w:rPr>
          <w:rFonts w:hint="eastAsia"/>
        </w:rPr>
        <w:t>强化建设资金来源保障</w:t>
      </w:r>
      <w:bookmarkEnd w:id="161"/>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积极申报、努力争取国家及北京市、大兴区的财政资金支持乡村旅游、现代农业以及新型城镇化、智慧城市试点等领域重点项目。</w:t>
      </w:r>
    </w:p>
    <w:p>
      <w:pPr>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成立以政府为主导的产业投资引导基金，并积极与北京市、大兴区相关基金对接，重点支持企业资质较好、创新能力强、市场广阔的企业。发挥财政资金的撬动功能，通过政府财政资金引导，土地出让金补充等方式，形成政府财政资金、天使资金、创业风险投资、商业信贷、产业投资、民间资本、外资引进等多元化投资渠道。</w:t>
      </w:r>
    </w:p>
    <w:p>
      <w:pPr>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 xml:space="preserve">    创新融资、担保、贴息等投融资机制和征信机制，成立以政府为主导的中小企业融资担保机构。开展中小企业、融资担保、银行的三方对接会，由政府牵线搭桥，由担保机构“护航”，为企业提供融资担保。</w:t>
      </w:r>
    </w:p>
    <w:p>
      <w:pPr>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 xml:space="preserve">    加强对企业创新的资金支持。引导科技创业企业在股权众筹平台、区域股权交易市场进行展示挂牌和融资，鼓励发展众筹、互联网金融、普惠金融、小微银行，增强对创新创业的服务能力。支持科技担保公司、科技保险公司等金融中介机构发展。</w:t>
      </w:r>
    </w:p>
    <w:p>
      <w:pPr>
        <w:pStyle w:val="3"/>
      </w:pPr>
      <w:bookmarkStart w:id="163" w:name="_Toc444603370"/>
      <w:bookmarkStart w:id="164" w:name="_Toc460947546"/>
      <w:r>
        <w:rPr>
          <w:rFonts w:hint="eastAsia"/>
        </w:rPr>
        <w:t>（</w:t>
      </w:r>
      <w:r>
        <w:fldChar w:fldCharType="begin"/>
      </w:r>
      <w:r>
        <w:instrText xml:space="preserve"> HYPERLINK \l "_Toc427589581" </w:instrText>
      </w:r>
      <w:r>
        <w:fldChar w:fldCharType="separate"/>
      </w:r>
      <w:bookmarkStart w:id="165" w:name="_Toc441572688"/>
      <w:r>
        <w:rPr>
          <w:rFonts w:hint="eastAsia"/>
        </w:rPr>
        <w:t>四）科学考核监督实施效果</w:t>
      </w:r>
      <w:bookmarkEnd w:id="163"/>
      <w:bookmarkEnd w:id="164"/>
      <w:bookmarkEnd w:id="165"/>
      <w:r>
        <w:rPr>
          <w:rFonts w:hint="eastAsia"/>
        </w:rPr>
        <w:fldChar w:fldCharType="end"/>
      </w:r>
    </w:p>
    <w:p>
      <w:pPr>
        <w:ind w:firstLine="555"/>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依据本规划的总体安排部署，逐年落实规划提出的发展目标和重点任务，客观分析本规划实施进展情况，特别是约束性指标的完成情况，对约束性指标设置年度目标。定期评估规划实施效果，及时解决规划实施过程中出现的问题。</w:t>
      </w:r>
    </w:p>
    <w:p>
      <w:pP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加强对规划实施情况跟踪评价，自觉接受人大的监督检查。镇政府各有关部门要对重点领域的发展情况适时开展年度专题评估，在规划实施的中期阶段，由镇政府组织开展全面评估，并将中期评估报告提交人大常务委员会审议。加强对经济发展、结构效益、科技创新、社会民生和资源环境等统计工作，为监测评估和政策制定提供基础。</w:t>
      </w: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Bdr>
        <w:between w:val="none" w:color="auto" w:sz="0" w:space="0"/>
      </w:pBdr>
      <w:ind w:firstLine="560"/>
    </w:pPr>
    <w:r>
      <w:fldChar w:fldCharType="begin"/>
    </w:r>
    <w:r>
      <w:instrText xml:space="preserve"> PAGE  </w:instrText>
    </w:r>
    <w:r>
      <w:fldChar w:fldCharType="separate"/>
    </w:r>
    <w:r>
      <w:t>2</w:t>
    </w:r>
    <w:r>
      <w:fldChar w:fldCharType="end"/>
    </w:r>
  </w:p>
  <w:p>
    <w:pPr>
      <w:pStyle w:val="8"/>
      <w:ind w:right="360" w:firstLine="36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uto" w:vAnchor="text" w:hAnchor="margin" w:xAlign="center" w:y="1"/>
      <w:ind w:firstLine="360"/>
      <w:rPr>
        <w:rStyle w:val="16"/>
      </w:rPr>
    </w:pPr>
    <w:r>
      <w:rPr>
        <w:rStyle w:val="16"/>
      </w:rPr>
      <w:fldChar w:fldCharType="begin"/>
    </w:r>
    <w:r>
      <w:rPr>
        <w:rStyle w:val="16"/>
      </w:rPr>
      <w:instrText xml:space="preserve">PAGE  </w:instrText>
    </w:r>
    <w:r>
      <w:rPr>
        <w:rStyle w:val="16"/>
      </w:rPr>
      <w:fldChar w:fldCharType="end"/>
    </w:r>
  </w:p>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uto" w:vAnchor="text" w:hAnchor="margin" w:xAlign="center" w:y="1"/>
      <w:ind w:firstLine="360"/>
      <w:rPr>
        <w:rStyle w:val="16"/>
      </w:rPr>
    </w:pPr>
    <w:r>
      <w:rPr>
        <w:rStyle w:val="16"/>
      </w:rPr>
      <w:fldChar w:fldCharType="begin"/>
    </w:r>
    <w:r>
      <w:rPr>
        <w:rStyle w:val="16"/>
      </w:rPr>
      <w:instrText xml:space="preserve">PAGE  </w:instrText>
    </w:r>
    <w:r>
      <w:rPr>
        <w:rStyle w:val="16"/>
      </w:rPr>
      <w:fldChar w:fldCharType="separate"/>
    </w:r>
    <w:r>
      <w:rPr>
        <w:rStyle w:val="16"/>
      </w:rPr>
      <w:t>I</w:t>
    </w:r>
    <w:r>
      <w:rPr>
        <w:rStyle w:val="16"/>
      </w:rPr>
      <w:fldChar w:fldCharType="end"/>
    </w:r>
  </w:p>
  <w:p>
    <w:pPr>
      <w:pStyle w:val="8"/>
      <w:ind w:right="360" w:firstLine="360" w:firstLineChars="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ind w:firstLine="0" w:firstLineChars="0"/>
      <w:rPr>
        <w:color w:val="558ED5" w:themeColor="text2" w:themeTint="99"/>
        <w:sz w:val="24"/>
        <w:szCs w:val="24"/>
        <w14:textFill>
          <w14:solidFill>
            <w14:schemeClr w14:val="tx2">
              <w14:lumMod w14:val="60000"/>
              <w14:lumOff w14:val="40000"/>
            </w14:schemeClr>
          </w14:solidFill>
        </w14:textFil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zZGYxM2ExMjVmMzkxNmNlOGU1Y2VhMTVmMzQxNTkifQ=="/>
  </w:docVars>
  <w:rsids>
    <w:rsidRoot w:val="00CF08FF"/>
    <w:rsid w:val="000032DA"/>
    <w:rsid w:val="00010820"/>
    <w:rsid w:val="00014426"/>
    <w:rsid w:val="00014E59"/>
    <w:rsid w:val="000202A1"/>
    <w:rsid w:val="00022E3A"/>
    <w:rsid w:val="00026241"/>
    <w:rsid w:val="00052E0B"/>
    <w:rsid w:val="00052F97"/>
    <w:rsid w:val="0007066C"/>
    <w:rsid w:val="0007141E"/>
    <w:rsid w:val="000777E0"/>
    <w:rsid w:val="000778B4"/>
    <w:rsid w:val="000802E8"/>
    <w:rsid w:val="00080AC2"/>
    <w:rsid w:val="0008410E"/>
    <w:rsid w:val="0008743B"/>
    <w:rsid w:val="000914BE"/>
    <w:rsid w:val="00092457"/>
    <w:rsid w:val="00094E45"/>
    <w:rsid w:val="0009639E"/>
    <w:rsid w:val="000B51C7"/>
    <w:rsid w:val="000C1CA7"/>
    <w:rsid w:val="000C46F9"/>
    <w:rsid w:val="000E3574"/>
    <w:rsid w:val="000E5AF1"/>
    <w:rsid w:val="000E7DD9"/>
    <w:rsid w:val="000F0A71"/>
    <w:rsid w:val="000F12DE"/>
    <w:rsid w:val="000F33AB"/>
    <w:rsid w:val="000F394D"/>
    <w:rsid w:val="000F5198"/>
    <w:rsid w:val="000F78A6"/>
    <w:rsid w:val="000F7939"/>
    <w:rsid w:val="00101933"/>
    <w:rsid w:val="00102B9D"/>
    <w:rsid w:val="00103EB0"/>
    <w:rsid w:val="001120D8"/>
    <w:rsid w:val="00112633"/>
    <w:rsid w:val="00112DEA"/>
    <w:rsid w:val="00113271"/>
    <w:rsid w:val="0012146B"/>
    <w:rsid w:val="001231DE"/>
    <w:rsid w:val="0013008B"/>
    <w:rsid w:val="001327D3"/>
    <w:rsid w:val="001374DB"/>
    <w:rsid w:val="001411A7"/>
    <w:rsid w:val="00142332"/>
    <w:rsid w:val="001453B0"/>
    <w:rsid w:val="0015259A"/>
    <w:rsid w:val="00156CE2"/>
    <w:rsid w:val="00157D75"/>
    <w:rsid w:val="0016059D"/>
    <w:rsid w:val="00162BE6"/>
    <w:rsid w:val="001643EF"/>
    <w:rsid w:val="00165235"/>
    <w:rsid w:val="00165394"/>
    <w:rsid w:val="00170054"/>
    <w:rsid w:val="001776DA"/>
    <w:rsid w:val="0018469E"/>
    <w:rsid w:val="00184F07"/>
    <w:rsid w:val="00187240"/>
    <w:rsid w:val="00196B61"/>
    <w:rsid w:val="001A08B7"/>
    <w:rsid w:val="001A0E6E"/>
    <w:rsid w:val="001C39DA"/>
    <w:rsid w:val="001E2944"/>
    <w:rsid w:val="001E5D06"/>
    <w:rsid w:val="001E6C6A"/>
    <w:rsid w:val="001F46BB"/>
    <w:rsid w:val="00201C9B"/>
    <w:rsid w:val="002069F7"/>
    <w:rsid w:val="00214308"/>
    <w:rsid w:val="002256D7"/>
    <w:rsid w:val="00227042"/>
    <w:rsid w:val="00240AE8"/>
    <w:rsid w:val="00241F63"/>
    <w:rsid w:val="00243946"/>
    <w:rsid w:val="0024682A"/>
    <w:rsid w:val="002542A7"/>
    <w:rsid w:val="002672F3"/>
    <w:rsid w:val="00267837"/>
    <w:rsid w:val="00282982"/>
    <w:rsid w:val="00290DC6"/>
    <w:rsid w:val="002926F6"/>
    <w:rsid w:val="00295FC2"/>
    <w:rsid w:val="0029712A"/>
    <w:rsid w:val="002A31E0"/>
    <w:rsid w:val="002B4C09"/>
    <w:rsid w:val="002B7BBE"/>
    <w:rsid w:val="002C4BCD"/>
    <w:rsid w:val="002C5557"/>
    <w:rsid w:val="002C55FD"/>
    <w:rsid w:val="002C563B"/>
    <w:rsid w:val="002D0D3E"/>
    <w:rsid w:val="002D2EC0"/>
    <w:rsid w:val="002D5484"/>
    <w:rsid w:val="002E01E6"/>
    <w:rsid w:val="002E35E8"/>
    <w:rsid w:val="0031548C"/>
    <w:rsid w:val="00315D07"/>
    <w:rsid w:val="003303C6"/>
    <w:rsid w:val="00337C11"/>
    <w:rsid w:val="00343BBB"/>
    <w:rsid w:val="00350F3E"/>
    <w:rsid w:val="00352DC7"/>
    <w:rsid w:val="00354FBF"/>
    <w:rsid w:val="00356A5E"/>
    <w:rsid w:val="00357B46"/>
    <w:rsid w:val="00367977"/>
    <w:rsid w:val="00372AE5"/>
    <w:rsid w:val="00376729"/>
    <w:rsid w:val="003770F5"/>
    <w:rsid w:val="003827E0"/>
    <w:rsid w:val="0038744D"/>
    <w:rsid w:val="00387A56"/>
    <w:rsid w:val="00387B3C"/>
    <w:rsid w:val="00391A43"/>
    <w:rsid w:val="00391FB9"/>
    <w:rsid w:val="003A4B5F"/>
    <w:rsid w:val="003A7495"/>
    <w:rsid w:val="003B204C"/>
    <w:rsid w:val="003B37D9"/>
    <w:rsid w:val="003C1DF4"/>
    <w:rsid w:val="003C4229"/>
    <w:rsid w:val="003C43E8"/>
    <w:rsid w:val="003C5800"/>
    <w:rsid w:val="003D65B7"/>
    <w:rsid w:val="003D729F"/>
    <w:rsid w:val="003E1E63"/>
    <w:rsid w:val="003E42B2"/>
    <w:rsid w:val="003E49A5"/>
    <w:rsid w:val="003F41E8"/>
    <w:rsid w:val="003F4BF8"/>
    <w:rsid w:val="003F55BE"/>
    <w:rsid w:val="003F5F6A"/>
    <w:rsid w:val="003F706C"/>
    <w:rsid w:val="004076CC"/>
    <w:rsid w:val="00412570"/>
    <w:rsid w:val="00413591"/>
    <w:rsid w:val="00414B9B"/>
    <w:rsid w:val="00416658"/>
    <w:rsid w:val="00416B9B"/>
    <w:rsid w:val="00425868"/>
    <w:rsid w:val="00436BC2"/>
    <w:rsid w:val="00447B8A"/>
    <w:rsid w:val="004574BC"/>
    <w:rsid w:val="0046456A"/>
    <w:rsid w:val="00465B6B"/>
    <w:rsid w:val="004669C6"/>
    <w:rsid w:val="004670D5"/>
    <w:rsid w:val="00470E67"/>
    <w:rsid w:val="0047562B"/>
    <w:rsid w:val="0049709B"/>
    <w:rsid w:val="004A38D9"/>
    <w:rsid w:val="004A6B7A"/>
    <w:rsid w:val="004B75AA"/>
    <w:rsid w:val="004C45AE"/>
    <w:rsid w:val="004C67B1"/>
    <w:rsid w:val="004C7D88"/>
    <w:rsid w:val="004D207A"/>
    <w:rsid w:val="004D38FF"/>
    <w:rsid w:val="004E30FC"/>
    <w:rsid w:val="004E652E"/>
    <w:rsid w:val="004F1D0E"/>
    <w:rsid w:val="005009FF"/>
    <w:rsid w:val="00510226"/>
    <w:rsid w:val="005251C2"/>
    <w:rsid w:val="00527177"/>
    <w:rsid w:val="00532038"/>
    <w:rsid w:val="005334E3"/>
    <w:rsid w:val="00542251"/>
    <w:rsid w:val="005434A4"/>
    <w:rsid w:val="00546C50"/>
    <w:rsid w:val="00552426"/>
    <w:rsid w:val="005527AD"/>
    <w:rsid w:val="00553270"/>
    <w:rsid w:val="0055559C"/>
    <w:rsid w:val="00561CF9"/>
    <w:rsid w:val="00567006"/>
    <w:rsid w:val="00567E6C"/>
    <w:rsid w:val="00572789"/>
    <w:rsid w:val="00572E60"/>
    <w:rsid w:val="00580F30"/>
    <w:rsid w:val="00583C8B"/>
    <w:rsid w:val="00593589"/>
    <w:rsid w:val="00595714"/>
    <w:rsid w:val="00595F9F"/>
    <w:rsid w:val="005A0165"/>
    <w:rsid w:val="005A480D"/>
    <w:rsid w:val="005A4BEA"/>
    <w:rsid w:val="005A676F"/>
    <w:rsid w:val="005B221C"/>
    <w:rsid w:val="005C0CBD"/>
    <w:rsid w:val="005C2E40"/>
    <w:rsid w:val="005C5EF6"/>
    <w:rsid w:val="005C7703"/>
    <w:rsid w:val="005C78BD"/>
    <w:rsid w:val="005E3E54"/>
    <w:rsid w:val="005F2E8F"/>
    <w:rsid w:val="005F6814"/>
    <w:rsid w:val="006019D6"/>
    <w:rsid w:val="00620F07"/>
    <w:rsid w:val="00625340"/>
    <w:rsid w:val="00625B4B"/>
    <w:rsid w:val="00626447"/>
    <w:rsid w:val="006279FB"/>
    <w:rsid w:val="0063497B"/>
    <w:rsid w:val="006353AB"/>
    <w:rsid w:val="006424C2"/>
    <w:rsid w:val="00647399"/>
    <w:rsid w:val="00650FB8"/>
    <w:rsid w:val="00651D65"/>
    <w:rsid w:val="0066149B"/>
    <w:rsid w:val="006618D0"/>
    <w:rsid w:val="006669F9"/>
    <w:rsid w:val="00676178"/>
    <w:rsid w:val="0067716F"/>
    <w:rsid w:val="00682D02"/>
    <w:rsid w:val="0068491B"/>
    <w:rsid w:val="00686C56"/>
    <w:rsid w:val="00686C9B"/>
    <w:rsid w:val="00693A63"/>
    <w:rsid w:val="006B0AA0"/>
    <w:rsid w:val="006C4EB7"/>
    <w:rsid w:val="006C5C88"/>
    <w:rsid w:val="006C5E2B"/>
    <w:rsid w:val="006D0EC4"/>
    <w:rsid w:val="006D5127"/>
    <w:rsid w:val="006D7AA7"/>
    <w:rsid w:val="006E2E26"/>
    <w:rsid w:val="006E3028"/>
    <w:rsid w:val="006E36EA"/>
    <w:rsid w:val="006E6995"/>
    <w:rsid w:val="006F1E54"/>
    <w:rsid w:val="006F7EFB"/>
    <w:rsid w:val="007159FB"/>
    <w:rsid w:val="00717062"/>
    <w:rsid w:val="0072026D"/>
    <w:rsid w:val="00722AAA"/>
    <w:rsid w:val="00723D8B"/>
    <w:rsid w:val="0072462F"/>
    <w:rsid w:val="00725454"/>
    <w:rsid w:val="00727A3B"/>
    <w:rsid w:val="00732773"/>
    <w:rsid w:val="00732D3A"/>
    <w:rsid w:val="00733E6B"/>
    <w:rsid w:val="007357E7"/>
    <w:rsid w:val="00735E4B"/>
    <w:rsid w:val="007469BC"/>
    <w:rsid w:val="007713FD"/>
    <w:rsid w:val="0077381F"/>
    <w:rsid w:val="007762F7"/>
    <w:rsid w:val="00777419"/>
    <w:rsid w:val="00787D62"/>
    <w:rsid w:val="00790F92"/>
    <w:rsid w:val="007951EB"/>
    <w:rsid w:val="007A17E6"/>
    <w:rsid w:val="007A4D19"/>
    <w:rsid w:val="007A7CAC"/>
    <w:rsid w:val="007B731F"/>
    <w:rsid w:val="007C6D69"/>
    <w:rsid w:val="007D3878"/>
    <w:rsid w:val="007D4773"/>
    <w:rsid w:val="007D5939"/>
    <w:rsid w:val="007E16DE"/>
    <w:rsid w:val="007F0BCB"/>
    <w:rsid w:val="007F452A"/>
    <w:rsid w:val="008009D3"/>
    <w:rsid w:val="00802912"/>
    <w:rsid w:val="00802E37"/>
    <w:rsid w:val="00806E98"/>
    <w:rsid w:val="00814F2E"/>
    <w:rsid w:val="0082096B"/>
    <w:rsid w:val="0083198A"/>
    <w:rsid w:val="00833BF5"/>
    <w:rsid w:val="00835D35"/>
    <w:rsid w:val="0084016F"/>
    <w:rsid w:val="00843976"/>
    <w:rsid w:val="008452A7"/>
    <w:rsid w:val="008454D9"/>
    <w:rsid w:val="00847C46"/>
    <w:rsid w:val="00854BCF"/>
    <w:rsid w:val="008564EB"/>
    <w:rsid w:val="00856707"/>
    <w:rsid w:val="00864D79"/>
    <w:rsid w:val="0086546D"/>
    <w:rsid w:val="008655D9"/>
    <w:rsid w:val="00875018"/>
    <w:rsid w:val="0087734D"/>
    <w:rsid w:val="008872A7"/>
    <w:rsid w:val="00890287"/>
    <w:rsid w:val="0089107D"/>
    <w:rsid w:val="008923CE"/>
    <w:rsid w:val="008A2DC9"/>
    <w:rsid w:val="008A3BAB"/>
    <w:rsid w:val="008B4771"/>
    <w:rsid w:val="008B7FDB"/>
    <w:rsid w:val="008C137C"/>
    <w:rsid w:val="008C381F"/>
    <w:rsid w:val="008C6400"/>
    <w:rsid w:val="008E0551"/>
    <w:rsid w:val="008E2002"/>
    <w:rsid w:val="008E3752"/>
    <w:rsid w:val="008E5883"/>
    <w:rsid w:val="008F39AC"/>
    <w:rsid w:val="008F63FD"/>
    <w:rsid w:val="00905F6F"/>
    <w:rsid w:val="00912A06"/>
    <w:rsid w:val="009154DA"/>
    <w:rsid w:val="009177D1"/>
    <w:rsid w:val="009243A6"/>
    <w:rsid w:val="00944401"/>
    <w:rsid w:val="00945348"/>
    <w:rsid w:val="0094754D"/>
    <w:rsid w:val="00947630"/>
    <w:rsid w:val="009504F8"/>
    <w:rsid w:val="00951F6E"/>
    <w:rsid w:val="00954465"/>
    <w:rsid w:val="009615C8"/>
    <w:rsid w:val="00963327"/>
    <w:rsid w:val="00964375"/>
    <w:rsid w:val="00974D70"/>
    <w:rsid w:val="00981893"/>
    <w:rsid w:val="0098411D"/>
    <w:rsid w:val="00985B86"/>
    <w:rsid w:val="00990EE0"/>
    <w:rsid w:val="0099625E"/>
    <w:rsid w:val="009A52FA"/>
    <w:rsid w:val="009C121E"/>
    <w:rsid w:val="009C2B1F"/>
    <w:rsid w:val="009D0B52"/>
    <w:rsid w:val="009D1D6B"/>
    <w:rsid w:val="009D65C7"/>
    <w:rsid w:val="009E0182"/>
    <w:rsid w:val="009E10E3"/>
    <w:rsid w:val="009E444C"/>
    <w:rsid w:val="009E5D28"/>
    <w:rsid w:val="009F1B22"/>
    <w:rsid w:val="009F278B"/>
    <w:rsid w:val="00A03B0D"/>
    <w:rsid w:val="00A05E92"/>
    <w:rsid w:val="00A158D9"/>
    <w:rsid w:val="00A23B07"/>
    <w:rsid w:val="00A2558C"/>
    <w:rsid w:val="00A26BA7"/>
    <w:rsid w:val="00A27DD9"/>
    <w:rsid w:val="00A35F9E"/>
    <w:rsid w:val="00A35FF5"/>
    <w:rsid w:val="00A51FFF"/>
    <w:rsid w:val="00A52367"/>
    <w:rsid w:val="00A546BE"/>
    <w:rsid w:val="00A573BA"/>
    <w:rsid w:val="00A631AB"/>
    <w:rsid w:val="00A708BA"/>
    <w:rsid w:val="00A74A9F"/>
    <w:rsid w:val="00A82FE9"/>
    <w:rsid w:val="00A86740"/>
    <w:rsid w:val="00A91187"/>
    <w:rsid w:val="00A94E7D"/>
    <w:rsid w:val="00A97578"/>
    <w:rsid w:val="00AA1B6B"/>
    <w:rsid w:val="00AA1C71"/>
    <w:rsid w:val="00AA23FC"/>
    <w:rsid w:val="00AA7054"/>
    <w:rsid w:val="00AA75E7"/>
    <w:rsid w:val="00AB3CC3"/>
    <w:rsid w:val="00AB42E0"/>
    <w:rsid w:val="00AB43D4"/>
    <w:rsid w:val="00AB4FE0"/>
    <w:rsid w:val="00AB569B"/>
    <w:rsid w:val="00AB588F"/>
    <w:rsid w:val="00AB7BF3"/>
    <w:rsid w:val="00AC4B83"/>
    <w:rsid w:val="00AD4554"/>
    <w:rsid w:val="00AE0963"/>
    <w:rsid w:val="00AE33D2"/>
    <w:rsid w:val="00AE4211"/>
    <w:rsid w:val="00AF35AE"/>
    <w:rsid w:val="00B00435"/>
    <w:rsid w:val="00B06284"/>
    <w:rsid w:val="00B065A0"/>
    <w:rsid w:val="00B1386E"/>
    <w:rsid w:val="00B203EB"/>
    <w:rsid w:val="00B24B2E"/>
    <w:rsid w:val="00B46801"/>
    <w:rsid w:val="00B516DC"/>
    <w:rsid w:val="00B53229"/>
    <w:rsid w:val="00B54692"/>
    <w:rsid w:val="00B54C0C"/>
    <w:rsid w:val="00B6531F"/>
    <w:rsid w:val="00B67BE3"/>
    <w:rsid w:val="00B85BCD"/>
    <w:rsid w:val="00B96EF6"/>
    <w:rsid w:val="00BA4BF0"/>
    <w:rsid w:val="00BA797C"/>
    <w:rsid w:val="00BC0DDE"/>
    <w:rsid w:val="00BC198C"/>
    <w:rsid w:val="00BC32EE"/>
    <w:rsid w:val="00BC43B6"/>
    <w:rsid w:val="00BD069F"/>
    <w:rsid w:val="00BD6F8C"/>
    <w:rsid w:val="00BE1441"/>
    <w:rsid w:val="00BE25CE"/>
    <w:rsid w:val="00BF3B32"/>
    <w:rsid w:val="00BF4D4F"/>
    <w:rsid w:val="00BF5281"/>
    <w:rsid w:val="00BF5F3F"/>
    <w:rsid w:val="00C00E53"/>
    <w:rsid w:val="00C150A6"/>
    <w:rsid w:val="00C15C2A"/>
    <w:rsid w:val="00C16778"/>
    <w:rsid w:val="00C174A8"/>
    <w:rsid w:val="00C368F2"/>
    <w:rsid w:val="00C36F89"/>
    <w:rsid w:val="00C41A72"/>
    <w:rsid w:val="00C472B3"/>
    <w:rsid w:val="00C53981"/>
    <w:rsid w:val="00C6001F"/>
    <w:rsid w:val="00C615E0"/>
    <w:rsid w:val="00C66055"/>
    <w:rsid w:val="00C758FC"/>
    <w:rsid w:val="00C771D8"/>
    <w:rsid w:val="00C81425"/>
    <w:rsid w:val="00C81F61"/>
    <w:rsid w:val="00C82AD9"/>
    <w:rsid w:val="00C92742"/>
    <w:rsid w:val="00C932B0"/>
    <w:rsid w:val="00C9480D"/>
    <w:rsid w:val="00C955AE"/>
    <w:rsid w:val="00C9617F"/>
    <w:rsid w:val="00C96F6F"/>
    <w:rsid w:val="00C978C5"/>
    <w:rsid w:val="00CA47DF"/>
    <w:rsid w:val="00CA7FC0"/>
    <w:rsid w:val="00CB0E7E"/>
    <w:rsid w:val="00CC609D"/>
    <w:rsid w:val="00CE03E8"/>
    <w:rsid w:val="00CE2DD2"/>
    <w:rsid w:val="00CE3353"/>
    <w:rsid w:val="00CE3491"/>
    <w:rsid w:val="00CE415D"/>
    <w:rsid w:val="00CE720F"/>
    <w:rsid w:val="00CF08FF"/>
    <w:rsid w:val="00CF22AE"/>
    <w:rsid w:val="00CF6E12"/>
    <w:rsid w:val="00CF7F91"/>
    <w:rsid w:val="00D017C7"/>
    <w:rsid w:val="00D032A2"/>
    <w:rsid w:val="00D04BD4"/>
    <w:rsid w:val="00D12203"/>
    <w:rsid w:val="00D21814"/>
    <w:rsid w:val="00D2496C"/>
    <w:rsid w:val="00D25E86"/>
    <w:rsid w:val="00D30D07"/>
    <w:rsid w:val="00D3737D"/>
    <w:rsid w:val="00D43FFF"/>
    <w:rsid w:val="00D472CA"/>
    <w:rsid w:val="00D506A5"/>
    <w:rsid w:val="00D55701"/>
    <w:rsid w:val="00D56376"/>
    <w:rsid w:val="00D62D51"/>
    <w:rsid w:val="00D665FB"/>
    <w:rsid w:val="00D73AC8"/>
    <w:rsid w:val="00D81863"/>
    <w:rsid w:val="00D83ABA"/>
    <w:rsid w:val="00D868A2"/>
    <w:rsid w:val="00DB0FCA"/>
    <w:rsid w:val="00DB4BB0"/>
    <w:rsid w:val="00DB5A74"/>
    <w:rsid w:val="00DC7745"/>
    <w:rsid w:val="00DE67F7"/>
    <w:rsid w:val="00DE72BC"/>
    <w:rsid w:val="00DF3BAA"/>
    <w:rsid w:val="00E00042"/>
    <w:rsid w:val="00E058F6"/>
    <w:rsid w:val="00E100F2"/>
    <w:rsid w:val="00E14541"/>
    <w:rsid w:val="00E23F7E"/>
    <w:rsid w:val="00E33D2A"/>
    <w:rsid w:val="00E43D16"/>
    <w:rsid w:val="00E453B7"/>
    <w:rsid w:val="00E45ACB"/>
    <w:rsid w:val="00E5067F"/>
    <w:rsid w:val="00E50A2F"/>
    <w:rsid w:val="00E5104C"/>
    <w:rsid w:val="00E60C7E"/>
    <w:rsid w:val="00E66417"/>
    <w:rsid w:val="00E66BD1"/>
    <w:rsid w:val="00E76E1B"/>
    <w:rsid w:val="00E77BA2"/>
    <w:rsid w:val="00E80371"/>
    <w:rsid w:val="00E86145"/>
    <w:rsid w:val="00E95CA7"/>
    <w:rsid w:val="00EA1BAF"/>
    <w:rsid w:val="00EA3790"/>
    <w:rsid w:val="00ED15EC"/>
    <w:rsid w:val="00ED4F8A"/>
    <w:rsid w:val="00ED6F2E"/>
    <w:rsid w:val="00EE0E52"/>
    <w:rsid w:val="00EF110E"/>
    <w:rsid w:val="00EF4C04"/>
    <w:rsid w:val="00F02B41"/>
    <w:rsid w:val="00F078AF"/>
    <w:rsid w:val="00F159DB"/>
    <w:rsid w:val="00F2175A"/>
    <w:rsid w:val="00F2388A"/>
    <w:rsid w:val="00F265CA"/>
    <w:rsid w:val="00F27686"/>
    <w:rsid w:val="00F34BF6"/>
    <w:rsid w:val="00F42D8D"/>
    <w:rsid w:val="00F52116"/>
    <w:rsid w:val="00F52ACB"/>
    <w:rsid w:val="00F54E24"/>
    <w:rsid w:val="00F56D0B"/>
    <w:rsid w:val="00F72F2A"/>
    <w:rsid w:val="00F74816"/>
    <w:rsid w:val="00F75966"/>
    <w:rsid w:val="00F7743D"/>
    <w:rsid w:val="00F871B8"/>
    <w:rsid w:val="00F91058"/>
    <w:rsid w:val="00F91128"/>
    <w:rsid w:val="00F978C4"/>
    <w:rsid w:val="00FB159F"/>
    <w:rsid w:val="00FB349F"/>
    <w:rsid w:val="00FB35F9"/>
    <w:rsid w:val="00FB4761"/>
    <w:rsid w:val="00FB75FE"/>
    <w:rsid w:val="00FC5B0F"/>
    <w:rsid w:val="00FC68E4"/>
    <w:rsid w:val="00FE40EB"/>
    <w:rsid w:val="00FF6A3B"/>
    <w:rsid w:val="00FF7FE4"/>
    <w:rsid w:val="02C32654"/>
    <w:rsid w:val="08B73009"/>
    <w:rsid w:val="12DE7CC3"/>
    <w:rsid w:val="14A44C82"/>
    <w:rsid w:val="1B82769A"/>
    <w:rsid w:val="1E7A7F8A"/>
    <w:rsid w:val="2061284C"/>
    <w:rsid w:val="215E7BFE"/>
    <w:rsid w:val="29E54FAA"/>
    <w:rsid w:val="2A9934E2"/>
    <w:rsid w:val="30003024"/>
    <w:rsid w:val="38385591"/>
    <w:rsid w:val="3ABF012A"/>
    <w:rsid w:val="3F4B18BF"/>
    <w:rsid w:val="46026DAB"/>
    <w:rsid w:val="483B6A13"/>
    <w:rsid w:val="4ACF0846"/>
    <w:rsid w:val="4E39416B"/>
    <w:rsid w:val="53225660"/>
    <w:rsid w:val="552206D2"/>
    <w:rsid w:val="6C45106D"/>
    <w:rsid w:val="6CE705DA"/>
    <w:rsid w:val="6F72518A"/>
    <w:rsid w:val="720E3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0"/>
    <w:pPr>
      <w:keepNext/>
      <w:keepLines/>
      <w:spacing w:before="340" w:after="330" w:line="578" w:lineRule="auto"/>
      <w:jc w:val="center"/>
      <w:outlineLvl w:val="0"/>
    </w:pPr>
    <w:rPr>
      <w:rFonts w:ascii="微软雅黑" w:hAnsi="微软雅黑" w:eastAsia="华文中宋" w:cs="Times New Roman"/>
      <w:b/>
      <w:bCs/>
      <w:color w:val="333333"/>
      <w:kern w:val="44"/>
      <w:sz w:val="32"/>
      <w:szCs w:val="32"/>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3"/>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19"/>
    <w:unhideWhenUsed/>
    <w:qFormat/>
    <w:uiPriority w:val="99"/>
    <w:rPr>
      <w:rFonts w:ascii="宋体" w:eastAsia="宋体"/>
      <w:sz w:val="18"/>
      <w:szCs w:val="18"/>
    </w:rPr>
  </w:style>
  <w:style w:type="paragraph" w:styleId="6">
    <w:name w:val="Body Text Indent 2"/>
    <w:basedOn w:val="1"/>
    <w:link w:val="26"/>
    <w:qFormat/>
    <w:uiPriority w:val="0"/>
    <w:pPr>
      <w:ind w:firstLine="560" w:firstLineChars="200"/>
    </w:pPr>
    <w:rPr>
      <w:rFonts w:ascii="Times New Roman" w:hAnsi="Times New Roman" w:eastAsia="宋体" w:cs="Times New Roman"/>
      <w:sz w:val="28"/>
      <w:szCs w:val="24"/>
    </w:rPr>
  </w:style>
  <w:style w:type="paragraph" w:styleId="7">
    <w:name w:val="Balloon Text"/>
    <w:basedOn w:val="1"/>
    <w:link w:val="24"/>
    <w:unhideWhenUsed/>
    <w:qFormat/>
    <w:uiPriority w:val="99"/>
    <w:rPr>
      <w:rFonts w:ascii="宋体" w:hAnsi="宋体" w:eastAsia="仿宋" w:cs="宋体"/>
      <w:color w:val="000000"/>
      <w:kern w:val="0"/>
      <w:sz w:val="18"/>
      <w:szCs w:val="18"/>
    </w:rPr>
  </w:style>
  <w:style w:type="paragraph" w:styleId="8">
    <w:name w:val="footer"/>
    <w:basedOn w:val="1"/>
    <w:link w:val="28"/>
    <w:qFormat/>
    <w:uiPriority w:val="0"/>
    <w:pPr>
      <w:tabs>
        <w:tab w:val="center" w:pos="4153"/>
        <w:tab w:val="right" w:pos="8306"/>
      </w:tabs>
      <w:snapToGrid w:val="0"/>
      <w:ind w:firstLine="420" w:firstLineChars="200"/>
    </w:pPr>
    <w:rPr>
      <w:rFonts w:ascii="Times New Roman" w:hAnsi="Times New Roman" w:eastAsia="宋体" w:cs="Times New Roman"/>
      <w:sz w:val="18"/>
      <w:szCs w:val="20"/>
    </w:rPr>
  </w:style>
  <w:style w:type="paragraph" w:styleId="9">
    <w:name w:val="header"/>
    <w:basedOn w:val="1"/>
    <w:link w:val="27"/>
    <w:uiPriority w:val="99"/>
    <w:pPr>
      <w:pBdr>
        <w:bottom w:val="single" w:color="auto" w:sz="6" w:space="1"/>
      </w:pBdr>
      <w:tabs>
        <w:tab w:val="center" w:pos="4153"/>
        <w:tab w:val="right" w:pos="8306"/>
      </w:tabs>
      <w:snapToGrid w:val="0"/>
      <w:ind w:firstLine="420" w:firstLineChars="200"/>
    </w:pPr>
    <w:rPr>
      <w:rFonts w:ascii="Times New Roman" w:hAnsi="Times New Roman" w:eastAsia="宋体" w:cs="Times New Roman"/>
      <w:sz w:val="18"/>
      <w:szCs w:val="20"/>
    </w:rPr>
  </w:style>
  <w:style w:type="paragraph" w:styleId="10">
    <w:name w:val="toc 1"/>
    <w:basedOn w:val="1"/>
    <w:next w:val="1"/>
    <w:unhideWhenUsed/>
    <w:qFormat/>
    <w:uiPriority w:val="39"/>
    <w:pPr>
      <w:tabs>
        <w:tab w:val="right" w:leader="dot" w:pos="8296"/>
      </w:tabs>
    </w:pPr>
    <w:rPr>
      <w:rFonts w:ascii="微软雅黑" w:hAnsi="微软雅黑" w:eastAsia="华文中宋" w:cs="Times New Roman"/>
      <w:b/>
      <w:bCs/>
      <w:kern w:val="44"/>
      <w:sz w:val="32"/>
      <w:szCs w:val="32"/>
    </w:rPr>
  </w:style>
  <w:style w:type="paragraph" w:styleId="11">
    <w:name w:val="toc 2"/>
    <w:basedOn w:val="1"/>
    <w:next w:val="1"/>
    <w:unhideWhenUsed/>
    <w:uiPriority w:val="39"/>
    <w:pPr>
      <w:ind w:left="420" w:leftChars="200"/>
    </w:pPr>
  </w:style>
  <w:style w:type="paragraph" w:styleId="12">
    <w:name w:val="Normal (Web)"/>
    <w:basedOn w:val="1"/>
    <w:qFormat/>
    <w:uiPriority w:val="99"/>
    <w:pPr>
      <w:widowControl/>
      <w:spacing w:before="100" w:beforeAutospacing="1" w:after="100" w:afterAutospacing="1"/>
      <w:jc w:val="left"/>
    </w:pPr>
    <w:rPr>
      <w:rFonts w:ascii="宋体" w:hAnsi="宋体" w:eastAsia="仿宋" w:cs="宋体"/>
      <w:kern w:val="0"/>
      <w:sz w:val="24"/>
      <w:szCs w:val="24"/>
    </w:rPr>
  </w:style>
  <w:style w:type="table" w:styleId="14">
    <w:name w:val="Table Grid"/>
    <w:basedOn w:val="13"/>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semiHidden/>
    <w:unhideWhenUsed/>
    <w:uiPriority w:val="99"/>
  </w:style>
  <w:style w:type="character" w:styleId="17">
    <w:name w:val="Hyperlink"/>
    <w:basedOn w:val="15"/>
    <w:unhideWhenUsed/>
    <w:qFormat/>
    <w:uiPriority w:val="99"/>
    <w:rPr>
      <w:color w:val="0000FF" w:themeColor="hyperlink"/>
      <w:u w:val="single"/>
      <w14:textFill>
        <w14:solidFill>
          <w14:schemeClr w14:val="hlink"/>
        </w14:solidFill>
      </w14:textFill>
    </w:rPr>
  </w:style>
  <w:style w:type="character" w:customStyle="1" w:styleId="18">
    <w:name w:val="标题 1字符"/>
    <w:basedOn w:val="15"/>
    <w:link w:val="2"/>
    <w:qFormat/>
    <w:uiPriority w:val="0"/>
    <w:rPr>
      <w:rFonts w:ascii="微软雅黑" w:hAnsi="微软雅黑" w:eastAsia="华文中宋" w:cs="Times New Roman"/>
      <w:b/>
      <w:bCs/>
      <w:color w:val="333333"/>
      <w:kern w:val="44"/>
      <w:sz w:val="32"/>
      <w:szCs w:val="32"/>
    </w:rPr>
  </w:style>
  <w:style w:type="character" w:customStyle="1" w:styleId="19">
    <w:name w:val="文档结构图字符"/>
    <w:basedOn w:val="15"/>
    <w:link w:val="5"/>
    <w:semiHidden/>
    <w:qFormat/>
    <w:uiPriority w:val="99"/>
    <w:rPr>
      <w:rFonts w:ascii="宋体" w:eastAsia="宋体"/>
      <w:sz w:val="18"/>
      <w:szCs w:val="18"/>
    </w:rPr>
  </w:style>
  <w:style w:type="character" w:customStyle="1" w:styleId="20">
    <w:name w:val="标题 2字符"/>
    <w:basedOn w:val="15"/>
    <w:link w:val="3"/>
    <w:qFormat/>
    <w:uiPriority w:val="9"/>
    <w:rPr>
      <w:rFonts w:asciiTheme="majorHAnsi" w:hAnsiTheme="majorHAnsi" w:eastAsiaTheme="majorEastAsia" w:cstheme="majorBidi"/>
      <w:b/>
      <w:bCs/>
      <w:sz w:val="32"/>
      <w:szCs w:val="32"/>
    </w:rPr>
  </w:style>
  <w:style w:type="paragraph" w:customStyle="1" w:styleId="21">
    <w:name w:val="本文正文"/>
    <w:basedOn w:val="1"/>
    <w:link w:val="22"/>
    <w:qFormat/>
    <w:uiPriority w:val="99"/>
    <w:pPr>
      <w:spacing w:line="360" w:lineRule="auto"/>
      <w:ind w:firstLine="480" w:firstLineChars="200"/>
    </w:pPr>
    <w:rPr>
      <w:rFonts w:ascii="楷体_GB2312" w:hAnsi="Calibri" w:eastAsia="楷体_GB2312" w:cs="Times New Roman"/>
      <w:sz w:val="24"/>
      <w:szCs w:val="24"/>
    </w:rPr>
  </w:style>
  <w:style w:type="character" w:customStyle="1" w:styleId="22">
    <w:name w:val="本文正文 Char"/>
    <w:basedOn w:val="15"/>
    <w:link w:val="21"/>
    <w:qFormat/>
    <w:locked/>
    <w:uiPriority w:val="99"/>
    <w:rPr>
      <w:rFonts w:ascii="楷体_GB2312" w:hAnsi="Calibri" w:eastAsia="楷体_GB2312" w:cs="Times New Roman"/>
      <w:sz w:val="24"/>
      <w:szCs w:val="24"/>
    </w:rPr>
  </w:style>
  <w:style w:type="character" w:customStyle="1" w:styleId="23">
    <w:name w:val="标题 3字符"/>
    <w:basedOn w:val="15"/>
    <w:link w:val="4"/>
    <w:uiPriority w:val="9"/>
    <w:rPr>
      <w:b/>
      <w:bCs/>
      <w:sz w:val="32"/>
      <w:szCs w:val="32"/>
    </w:rPr>
  </w:style>
  <w:style w:type="character" w:customStyle="1" w:styleId="24">
    <w:name w:val="批注框文本字符"/>
    <w:basedOn w:val="15"/>
    <w:link w:val="7"/>
    <w:qFormat/>
    <w:uiPriority w:val="99"/>
    <w:rPr>
      <w:rFonts w:ascii="宋体" w:hAnsi="宋体" w:eastAsia="仿宋" w:cs="宋体"/>
      <w:color w:val="000000"/>
      <w:kern w:val="0"/>
      <w:sz w:val="18"/>
      <w:szCs w:val="18"/>
    </w:rPr>
  </w:style>
  <w:style w:type="paragraph" w:customStyle="1" w:styleId="25">
    <w:name w:val="Default"/>
    <w:qFormat/>
    <w:uiPriority w:val="0"/>
    <w:pPr>
      <w:widowControl w:val="0"/>
      <w:autoSpaceDE w:val="0"/>
      <w:autoSpaceDN w:val="0"/>
      <w:adjustRightInd w:val="0"/>
    </w:pPr>
    <w:rPr>
      <w:rFonts w:ascii="微软雅黑" w:hAnsi="Calibri" w:eastAsia="微软雅黑" w:cs="微软雅黑"/>
      <w:color w:val="000000"/>
      <w:kern w:val="0"/>
      <w:sz w:val="24"/>
      <w:szCs w:val="24"/>
      <w:lang w:val="en-US" w:eastAsia="zh-CN" w:bidi="ar-SA"/>
    </w:rPr>
  </w:style>
  <w:style w:type="character" w:customStyle="1" w:styleId="26">
    <w:name w:val="正文文本缩进 2字符"/>
    <w:basedOn w:val="15"/>
    <w:link w:val="6"/>
    <w:qFormat/>
    <w:uiPriority w:val="0"/>
    <w:rPr>
      <w:rFonts w:ascii="Times New Roman" w:hAnsi="Times New Roman" w:eastAsia="宋体" w:cs="Times New Roman"/>
      <w:sz w:val="28"/>
      <w:szCs w:val="24"/>
    </w:rPr>
  </w:style>
  <w:style w:type="character" w:customStyle="1" w:styleId="27">
    <w:name w:val="页眉字符"/>
    <w:basedOn w:val="15"/>
    <w:link w:val="9"/>
    <w:uiPriority w:val="99"/>
    <w:rPr>
      <w:rFonts w:ascii="Times New Roman" w:hAnsi="Times New Roman" w:eastAsia="宋体" w:cs="Times New Roman"/>
      <w:sz w:val="18"/>
      <w:szCs w:val="20"/>
    </w:rPr>
  </w:style>
  <w:style w:type="character" w:customStyle="1" w:styleId="28">
    <w:name w:val="页脚字符"/>
    <w:basedOn w:val="15"/>
    <w:link w:val="8"/>
    <w:qFormat/>
    <w:uiPriority w:val="0"/>
    <w:rPr>
      <w:rFonts w:ascii="Times New Roman" w:hAnsi="Times New Roman" w:eastAsia="宋体" w:cs="Times New Roman"/>
      <w:sz w:val="18"/>
      <w:szCs w:val="20"/>
    </w:rPr>
  </w:style>
  <w:style w:type="paragraph" w:customStyle="1" w:styleId="29">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B8F1E7-EBF6-2F42-9B72-01A55CD58FB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55</Pages>
  <Words>4184</Words>
  <Characters>23852</Characters>
  <Lines>198</Lines>
  <Paragraphs>55</Paragraphs>
  <TotalTime>239</TotalTime>
  <ScaleCrop>false</ScaleCrop>
  <LinksUpToDate>false</LinksUpToDate>
  <CharactersWithSpaces>27981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2016-09-06T02:29:00Z</dcterms:created>
  <dc:creator>User</dc:creator>
  <cp:lastModifiedBy>Shirley^_^</cp:lastModifiedBy>
  <cp:lastPrinted>2016-09-06T11:11:00Z</cp:lastPrinted>
  <dcterms:modified xsi:type="dcterms:W3CDTF">2023-09-20T05:28:49Z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BB081FCABA3A4BEA9C5E96A3B9A18AD9_12</vt:lpwstr>
  </property>
</Properties>
</file>