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23" w:rsidRDefault="001C08EC">
      <w:pPr>
        <w:pStyle w:val="1"/>
        <w:tabs>
          <w:tab w:val="left" w:pos="567"/>
        </w:tabs>
        <w:ind w:firstLineChars="0" w:firstLine="0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附件2：</w:t>
      </w:r>
    </w:p>
    <w:p w:rsidR="00C80423" w:rsidRPr="00F47E02" w:rsidRDefault="001C08EC">
      <w:pPr>
        <w:pStyle w:val="1"/>
        <w:tabs>
          <w:tab w:val="left" w:pos="567"/>
        </w:tabs>
        <w:ind w:firstLineChars="0" w:firstLine="0"/>
        <w:jc w:val="center"/>
        <w:rPr>
          <w:rFonts w:asciiTheme="majorEastAsia" w:eastAsiaTheme="majorEastAsia" w:hAnsiTheme="majorEastAsia" w:cs="仿宋_GB2312"/>
          <w:b/>
          <w:bCs/>
          <w:sz w:val="44"/>
          <w:szCs w:val="44"/>
        </w:rPr>
      </w:pPr>
      <w:proofErr w:type="gramStart"/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大兴区</w:t>
      </w:r>
      <w:proofErr w:type="gramEnd"/>
      <w:r w:rsidR="00F47E02"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绿地·</w:t>
      </w:r>
      <w:proofErr w:type="gramStart"/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兴景苑</w:t>
      </w:r>
      <w:proofErr w:type="gramEnd"/>
      <w:r w:rsidRPr="00F47E02">
        <w:rPr>
          <w:rFonts w:asciiTheme="majorEastAsia" w:eastAsiaTheme="majorEastAsia" w:hAnsiTheme="majorEastAsia" w:cs="仿宋_GB2312" w:hint="eastAsia"/>
          <w:b/>
          <w:bCs/>
          <w:sz w:val="44"/>
          <w:szCs w:val="44"/>
        </w:rPr>
        <w:t>共有产权住房</w:t>
      </w:r>
    </w:p>
    <w:p w:rsidR="00C80423" w:rsidRPr="00F47E02" w:rsidRDefault="001C08EC">
      <w:pPr>
        <w:pStyle w:val="1"/>
        <w:tabs>
          <w:tab w:val="left" w:pos="567"/>
        </w:tabs>
        <w:ind w:firstLineChars="0" w:firstLine="0"/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项目有关情况特别提示</w:t>
      </w:r>
    </w:p>
    <w:p w:rsidR="00C80423" w:rsidRDefault="00C80423">
      <w:pPr>
        <w:spacing w:line="600" w:lineRule="exact"/>
        <w:ind w:firstLineChars="400" w:firstLine="1285"/>
        <w:rPr>
          <w:rFonts w:ascii="仿宋_GB2312" w:eastAsia="仿宋_GB2312" w:hAnsi="仿宋" w:cstheme="minorBidi"/>
          <w:b/>
          <w:sz w:val="32"/>
          <w:szCs w:val="32"/>
        </w:rPr>
      </w:pPr>
      <w:bookmarkStart w:id="0" w:name="_GoBack"/>
      <w:bookmarkEnd w:id="0"/>
    </w:p>
    <w:p w:rsidR="00C80423" w:rsidRDefault="001C08EC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项目情况</w:t>
      </w:r>
    </w:p>
    <w:p w:rsidR="00F47E02" w:rsidRPr="00F47E02" w:rsidRDefault="00F47E02" w:rsidP="00F47E0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47E02">
        <w:rPr>
          <w:rFonts w:ascii="仿宋_GB2312" w:eastAsia="仿宋_GB2312" w:hint="eastAsia"/>
          <w:sz w:val="32"/>
          <w:szCs w:val="32"/>
        </w:rPr>
        <w:t>项目地上建筑面积约1.49万平方米，容积率</w:t>
      </w:r>
      <w:r w:rsidRPr="00F47E02">
        <w:rPr>
          <w:rFonts w:ascii="仿宋_GB2312" w:eastAsia="仿宋_GB2312"/>
          <w:sz w:val="32"/>
          <w:szCs w:val="32"/>
        </w:rPr>
        <w:t>2.</w:t>
      </w:r>
      <w:r w:rsidRPr="00F47E02">
        <w:rPr>
          <w:rFonts w:ascii="仿宋_GB2312" w:eastAsia="仿宋_GB2312" w:hint="eastAsia"/>
          <w:sz w:val="32"/>
          <w:szCs w:val="32"/>
        </w:rPr>
        <w:t>8。项目总套数171套，其中，</w:t>
      </w:r>
      <w:proofErr w:type="gramStart"/>
      <w:r w:rsidRPr="00F47E02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F47E02">
        <w:rPr>
          <w:rFonts w:ascii="仿宋_GB2312" w:eastAsia="仿宋_GB2312" w:hint="eastAsia"/>
          <w:sz w:val="32"/>
          <w:szCs w:val="32"/>
        </w:rPr>
        <w:t>居室16套，建筑面积约67-88平方米；两居室155套，建筑面积约87-89平方米。</w:t>
      </w:r>
      <w:r w:rsidRPr="00F47E02">
        <w:rPr>
          <w:rFonts w:ascii="仿宋_GB2312" w:eastAsia="仿宋_GB2312" w:hAnsi="仿宋_GB2312" w:cs="仿宋_GB2312" w:hint="eastAsia"/>
          <w:sz w:val="32"/>
          <w:szCs w:val="32"/>
        </w:rPr>
        <w:t>销售均价17500元/平方米（根据具体楼层、朝向在±5%的范围内调整销售价格），毛坯交房。</w:t>
      </w:r>
    </w:p>
    <w:p w:rsidR="00C80423" w:rsidRDefault="001C08EC" w:rsidP="00F47E02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 w:rsidR="00F47E02">
        <w:rPr>
          <w:rFonts w:ascii="仿宋_GB2312" w:eastAsia="仿宋_GB2312" w:hAnsi="仿宋_GB2312" w:cs="仿宋_GB2312" w:hint="eastAsia"/>
          <w:sz w:val="32"/>
          <w:szCs w:val="32"/>
        </w:rPr>
        <w:t>二）周边配套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医院：中国中医科学院广安门医院南区门诊，中国中医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科学院广安门医院(南区)，北京市仁和医院。</w:t>
      </w:r>
    </w:p>
    <w:p w:rsidR="00C80423" w:rsidRDefault="001C08EC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商场：王府井百货，火神庙国际商业中心等。</w:t>
      </w:r>
    </w:p>
    <w:p w:rsidR="00C80423" w:rsidRDefault="001C08EC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学校：黄村镇第一中心小学，红太阳幼儿园(清源路)。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超市：乐购，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世纪华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联、家家吉利超市、世纪鸿利达超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市等。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银行：北京市农村商业银行、中国工商银行、中国建设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银行、中国农业银行等。  </w:t>
      </w:r>
    </w:p>
    <w:p w:rsidR="00C80423" w:rsidRPr="003212C9" w:rsidRDefault="001C08EC" w:rsidP="003212C9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娱乐： 黄村公园，枣林公园，兴城广场，康庄公园。</w:t>
      </w:r>
    </w:p>
    <w:p w:rsidR="00C80423" w:rsidRDefault="001C08EC" w:rsidP="00F47E0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（三）周边可能存在的不利环境因素</w:t>
      </w:r>
    </w:p>
    <w:p w:rsidR="00C80423" w:rsidRDefault="003232ED" w:rsidP="003232ED">
      <w:pPr>
        <w:pStyle w:val="2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1C08EC">
        <w:rPr>
          <w:rFonts w:ascii="仿宋_GB2312" w:eastAsia="仿宋_GB2312" w:hAnsi="仿宋_GB2312" w:cs="仿宋_GB2312" w:hint="eastAsia"/>
          <w:sz w:val="32"/>
          <w:szCs w:val="32"/>
        </w:rPr>
        <w:t>本楼栋东侧为新凤河，后期可能有异味等影响。</w:t>
      </w:r>
    </w:p>
    <w:p w:rsidR="00C80423" w:rsidRDefault="003232ED" w:rsidP="003232ED">
      <w:pPr>
        <w:pStyle w:val="2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1C08EC">
        <w:rPr>
          <w:rFonts w:ascii="仿宋_GB2312" w:eastAsia="仿宋_GB2312" w:hAnsi="仿宋_GB2312" w:cs="仿宋_GB2312" w:hint="eastAsia"/>
          <w:sz w:val="32"/>
          <w:szCs w:val="32"/>
        </w:rPr>
        <w:t>本楼栋东侧为新凤河，后期因河道治理可能有噪音等</w:t>
      </w:r>
      <w:r w:rsidR="001C08EC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3.本楼栋东侧为市政道路，后期可能有车行噪音等影响。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4.本楼栋西北侧为地下车库出入口，后期可能有噪音等影响。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5.本楼栋西侧为配建自行车坡道，后期可能因人员活动产生噪音等影响。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6.本楼栋西侧为活动场地，后期可能因人员活动产生噪音等影响。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7.本楼栋配建物业用房、商业配套，后期可能有噪音等影响。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8.本楼栋北侧为小区车行出入口，后期可能有噪音等影响。</w:t>
      </w:r>
    </w:p>
    <w:p w:rsidR="00C80423" w:rsidRDefault="001C08EC" w:rsidP="00F47E02">
      <w:pPr>
        <w:spacing w:line="600" w:lineRule="exact"/>
        <w:ind w:firstLineChars="200"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</w:t>
      </w:r>
      <w:r w:rsidR="00FD55F7">
        <w:rPr>
          <w:rFonts w:ascii="仿宋_GB2312" w:eastAsia="仿宋_GB2312" w:hAnsi="仿宋_GB2312" w:cs="仿宋_GB2312" w:hint="eastAsia"/>
          <w:sz w:val="32"/>
          <w:szCs w:val="32"/>
        </w:rPr>
        <w:t>绿地·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兴景苑共有产权住房</w:t>
      </w:r>
      <w:r w:rsidR="003212C9">
        <w:rPr>
          <w:rFonts w:ascii="仿宋_GB2312" w:eastAsia="仿宋_GB2312" w:hAnsi="仿宋_GB2312" w:cs="仿宋_GB2312" w:hint="eastAsia"/>
          <w:bCs/>
          <w:sz w:val="32"/>
          <w:szCs w:val="32"/>
        </w:rPr>
        <w:t>（1号楼）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项目有关情况特别提示</w:t>
      </w:r>
    </w:p>
    <w:p w:rsidR="00C80423" w:rsidRDefault="001C08EC">
      <w:pPr>
        <w:pStyle w:val="1"/>
        <w:widowControl/>
        <w:spacing w:line="345" w:lineRule="atLeast"/>
        <w:ind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本小区红线内现规划有公共配套设施，在符合国家标准的前提下，仍可能对相邻的自住房住宅产生影响：</w:t>
      </w:r>
    </w:p>
    <w:p w:rsidR="00C80423" w:rsidRDefault="00FD55F7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1.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>本1号楼首层设置有便利店与物业服务用房。（见示意图标注1）。临近此建筑可能会产生噪声、灯光等有对住宅的影响。</w:t>
      </w:r>
    </w:p>
    <w:p w:rsidR="00C80423" w:rsidRDefault="00FD55F7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2.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>地下汽车库机动车入口于本项目中有3个。其中1个位于本1号楼北侧。（见示意图标注2）</w:t>
      </w:r>
    </w:p>
    <w:p w:rsidR="00C80423" w:rsidRDefault="001C08EC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lastRenderedPageBreak/>
        <w:t>3</w:t>
      </w:r>
      <w:r w:rsidR="00FD55F7">
        <w:rPr>
          <w:rFonts w:ascii="仿宋_GB2312" w:eastAsia="仿宋_GB2312" w:hAnsi="仿宋_GB2312" w:cs="仿宋_GB2312" w:hint="eastAsia"/>
          <w:kern w:val="0"/>
          <w:sz w:val="32"/>
          <w:szCs w:val="21"/>
        </w:rPr>
        <w:t>.</w:t>
      </w: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非机动车出入口本项目共有3个。其中1个紧邻本1号楼西侧。（见示意图标注3）</w:t>
      </w:r>
    </w:p>
    <w:p w:rsidR="00C80423" w:rsidRPr="003232ED" w:rsidRDefault="00FD55F7" w:rsidP="003232ED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4.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 xml:space="preserve"> 本1号楼首层有地库进、排风竖井及地下室所需出地面窗井。地下一层为本楼服务的进排风竖井及配电间可能会对住宅有影响。各竖井位置示意详见附图。（进风竖井见示意图标注4，排风竖井见示意图标注5，其他窗井位置见示意图标注6）</w:t>
      </w:r>
    </w:p>
    <w:p w:rsidR="00C80423" w:rsidRDefault="001C08EC">
      <w:pPr>
        <w:pStyle w:val="1"/>
        <w:widowControl/>
        <w:spacing w:line="345" w:lineRule="atLeast"/>
        <w:ind w:firstLineChars="0" w:firstLine="0"/>
        <w:jc w:val="left"/>
        <w:rPr>
          <w:rFonts w:ascii="仿宋" w:eastAsia="仿宋" w:hAnsi="仿宋" w:cs="宋体"/>
          <w:kern w:val="0"/>
          <w:sz w:val="32"/>
          <w:szCs w:val="21"/>
        </w:rPr>
      </w:pPr>
      <w:r>
        <w:rPr>
          <w:noProof/>
        </w:rPr>
        <w:drawing>
          <wp:inline distT="0" distB="0" distL="0" distR="0">
            <wp:extent cx="4914900" cy="509143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725" t="-5836" r="14580" b="5836"/>
                    <a:stretch>
                      <a:fillRect/>
                    </a:stretch>
                  </pic:blipFill>
                  <pic:spPr>
                    <a:xfrm>
                      <a:off x="0" y="0"/>
                      <a:ext cx="4918284" cy="5095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3" w:rsidRDefault="00C80423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C80423" w:rsidRDefault="00C80423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C80423" w:rsidRDefault="00C80423">
      <w:pPr>
        <w:jc w:val="left"/>
      </w:pPr>
    </w:p>
    <w:p w:rsidR="00C80423" w:rsidRDefault="00C80423"/>
    <w:p w:rsidR="00C80423" w:rsidRDefault="001C08EC">
      <w:pPr>
        <w:spacing w:line="600" w:lineRule="exact"/>
        <w:ind w:firstLine="645"/>
        <w:jc w:val="right"/>
        <w:rPr>
          <w:rFonts w:ascii="仿宋_GB2312" w:eastAsia="仿宋_GB2312"/>
          <w:sz w:val="32"/>
          <w:szCs w:val="32"/>
        </w:rPr>
      </w:pPr>
      <w:r>
        <w:tab/>
      </w:r>
      <w:r>
        <w:rPr>
          <w:rFonts w:ascii="仿宋_GB2312" w:eastAsia="仿宋_GB2312" w:hint="eastAsia"/>
          <w:sz w:val="32"/>
          <w:szCs w:val="32"/>
        </w:rPr>
        <w:t>北京绿地京翰房地产开发有限公司</w:t>
      </w:r>
    </w:p>
    <w:p w:rsidR="00C80423" w:rsidRDefault="00C80423">
      <w:pPr>
        <w:spacing w:line="600" w:lineRule="exact"/>
        <w:rPr>
          <w:rFonts w:ascii="仿宋_GB2312" w:eastAsia="仿宋_GB2312" w:hAnsi="仿宋" w:cstheme="minorBidi"/>
          <w:b/>
          <w:sz w:val="32"/>
          <w:szCs w:val="32"/>
        </w:rPr>
      </w:pPr>
    </w:p>
    <w:p w:rsidR="00C80423" w:rsidRDefault="00C80423">
      <w:pPr>
        <w:spacing w:line="600" w:lineRule="exact"/>
        <w:rPr>
          <w:rFonts w:ascii="仿宋_GB2312" w:eastAsia="仿宋_GB2312" w:hAnsi="仿宋" w:cstheme="minorBidi"/>
          <w:b/>
          <w:sz w:val="32"/>
          <w:szCs w:val="32"/>
        </w:rPr>
      </w:pPr>
    </w:p>
    <w:p w:rsidR="00C80423" w:rsidRDefault="001C08EC">
      <w:pPr>
        <w:widowControl/>
        <w:jc w:val="left"/>
      </w:pPr>
      <w:r>
        <w:rPr>
          <w:rFonts w:ascii="仿宋" w:eastAsia="仿宋" w:hAnsi="仿宋" w:cs="宋体" w:hint="eastAsia"/>
          <w:kern w:val="0"/>
          <w:sz w:val="32"/>
          <w:szCs w:val="21"/>
        </w:rPr>
        <w:t xml:space="preserve">　</w:t>
      </w:r>
    </w:p>
    <w:p w:rsidR="00C80423" w:rsidRDefault="00C80423">
      <w:pPr>
        <w:pStyle w:val="1"/>
        <w:widowControl/>
        <w:spacing w:line="345" w:lineRule="atLeast"/>
        <w:ind w:left="284" w:firstLineChars="0" w:firstLine="0"/>
        <w:jc w:val="left"/>
        <w:rPr>
          <w:rFonts w:ascii="仿宋" w:eastAsia="仿宋" w:hAnsi="仿宋" w:cs="宋体"/>
          <w:kern w:val="0"/>
          <w:sz w:val="32"/>
          <w:szCs w:val="21"/>
        </w:rPr>
      </w:pPr>
    </w:p>
    <w:p w:rsidR="00C80423" w:rsidRDefault="00C80423">
      <w:pPr>
        <w:rPr>
          <w:rFonts w:ascii="仿宋_GB2312" w:eastAsia="仿宋_GB2312"/>
        </w:rPr>
      </w:pPr>
    </w:p>
    <w:sectPr w:rsidR="00C80423" w:rsidSect="00C804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C0C" w:rsidRDefault="00053C0C" w:rsidP="00F47E02">
      <w:r>
        <w:separator/>
      </w:r>
    </w:p>
  </w:endnote>
  <w:endnote w:type="continuationSeparator" w:id="0">
    <w:p w:rsidR="00053C0C" w:rsidRDefault="00053C0C" w:rsidP="00F47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黑体"/>
    <w:charset w:val="86"/>
    <w:family w:val="modern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C0C" w:rsidRDefault="00053C0C" w:rsidP="00F47E02">
      <w:r>
        <w:separator/>
      </w:r>
    </w:p>
  </w:footnote>
  <w:footnote w:type="continuationSeparator" w:id="0">
    <w:p w:rsidR="00053C0C" w:rsidRDefault="00053C0C" w:rsidP="00F47E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B6A0B"/>
    <w:multiLevelType w:val="singleLevel"/>
    <w:tmpl w:val="594B6A0B"/>
    <w:lvl w:ilvl="0">
      <w:start w:val="1"/>
      <w:numFmt w:val="chineseCounting"/>
      <w:suff w:val="nothing"/>
      <w:lvlText w:val="（%1）"/>
      <w:lvlJc w:val="left"/>
    </w:lvl>
  </w:abstractNum>
  <w:abstractNum w:abstractNumId="1">
    <w:nsid w:val="6E5A4F9C"/>
    <w:multiLevelType w:val="multilevel"/>
    <w:tmpl w:val="6E5A4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2FA5"/>
    <w:rsid w:val="00053C0C"/>
    <w:rsid w:val="001840A4"/>
    <w:rsid w:val="001C08EC"/>
    <w:rsid w:val="002B2ECA"/>
    <w:rsid w:val="002E2FA5"/>
    <w:rsid w:val="003212C9"/>
    <w:rsid w:val="003232ED"/>
    <w:rsid w:val="004B2BF3"/>
    <w:rsid w:val="00511A48"/>
    <w:rsid w:val="00AE2211"/>
    <w:rsid w:val="00C80423"/>
    <w:rsid w:val="00F47E02"/>
    <w:rsid w:val="00FD55F7"/>
    <w:rsid w:val="125C3989"/>
    <w:rsid w:val="35D6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2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C80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80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8042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C80423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8042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C80423"/>
    <w:pPr>
      <w:ind w:firstLineChars="200" w:firstLine="420"/>
    </w:pPr>
  </w:style>
  <w:style w:type="paragraph" w:styleId="a5">
    <w:name w:val="List Paragraph"/>
    <w:basedOn w:val="a"/>
    <w:uiPriority w:val="99"/>
    <w:unhideWhenUsed/>
    <w:rsid w:val="00F47E0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47E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7E02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赵晨</dc:creator>
  <cp:lastModifiedBy>赵晨</cp:lastModifiedBy>
  <cp:revision>6</cp:revision>
  <dcterms:created xsi:type="dcterms:W3CDTF">2018-07-11T08:56:00Z</dcterms:created>
  <dcterms:modified xsi:type="dcterms:W3CDTF">2018-07-24T08:33:00Z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