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56" w:rsidRPr="007672D3" w:rsidRDefault="004D2528" w:rsidP="004D2528">
      <w:pPr>
        <w:jc w:val="center"/>
        <w:rPr>
          <w:b/>
          <w:sz w:val="28"/>
        </w:rPr>
      </w:pPr>
      <w:r w:rsidRPr="007672D3">
        <w:rPr>
          <w:rFonts w:hint="eastAsia"/>
          <w:b/>
          <w:sz w:val="28"/>
        </w:rPr>
        <w:t>四季</w:t>
      </w:r>
      <w:proofErr w:type="gramStart"/>
      <w:r w:rsidRPr="007672D3">
        <w:rPr>
          <w:rFonts w:hint="eastAsia"/>
          <w:b/>
          <w:sz w:val="28"/>
        </w:rPr>
        <w:t>盛景园</w:t>
      </w:r>
      <w:proofErr w:type="gramEnd"/>
      <w:r w:rsidR="00695D96">
        <w:rPr>
          <w:rFonts w:hint="eastAsia"/>
          <w:b/>
          <w:sz w:val="28"/>
        </w:rPr>
        <w:t>共有产权住房项目</w:t>
      </w:r>
      <w:r w:rsidR="008B30A7" w:rsidRPr="007672D3">
        <w:rPr>
          <w:rFonts w:hint="eastAsia"/>
          <w:b/>
          <w:sz w:val="28"/>
        </w:rPr>
        <w:t>房源配售方案</w:t>
      </w:r>
    </w:p>
    <w:p w:rsidR="007469F2" w:rsidRPr="007672D3" w:rsidRDefault="00A62E98" w:rsidP="00043749">
      <w:pPr>
        <w:ind w:firstLineChars="200" w:firstLine="480"/>
      </w:pPr>
      <w:r w:rsidRPr="007672D3">
        <w:rPr>
          <w:rFonts w:hint="eastAsia"/>
          <w:bCs/>
        </w:rPr>
        <w:t>根据</w:t>
      </w:r>
      <w:r w:rsidR="00210224" w:rsidRPr="007672D3">
        <w:rPr>
          <w:rFonts w:hint="eastAsia"/>
          <w:bCs/>
        </w:rPr>
        <w:t>非本市户籍</w:t>
      </w:r>
      <w:r w:rsidR="007D2F98" w:rsidRPr="007672D3">
        <w:rPr>
          <w:rFonts w:hint="eastAsia"/>
          <w:bCs/>
        </w:rPr>
        <w:t>家庭、</w:t>
      </w:r>
      <w:r w:rsidR="00210224" w:rsidRPr="007672D3">
        <w:rPr>
          <w:rFonts w:hint="eastAsia"/>
          <w:bCs/>
        </w:rPr>
        <w:t>本市户籍</w:t>
      </w:r>
      <w:r w:rsidR="007D2F98" w:rsidRPr="007672D3">
        <w:rPr>
          <w:rFonts w:hint="eastAsia"/>
          <w:bCs/>
        </w:rPr>
        <w:t>家庭购房比例，结合调研申购</w:t>
      </w:r>
      <w:r w:rsidRPr="007672D3">
        <w:rPr>
          <w:rFonts w:hint="eastAsia"/>
          <w:bCs/>
        </w:rPr>
        <w:t>家庭</w:t>
      </w:r>
      <w:r w:rsidR="007D2F98" w:rsidRPr="007672D3">
        <w:rPr>
          <w:rFonts w:hint="eastAsia"/>
          <w:bCs/>
        </w:rPr>
        <w:t>购房</w:t>
      </w:r>
      <w:r w:rsidR="007672D3">
        <w:rPr>
          <w:rFonts w:hint="eastAsia"/>
          <w:bCs/>
        </w:rPr>
        <w:t>选择意愿</w:t>
      </w:r>
      <w:r w:rsidR="007D2F98" w:rsidRPr="007672D3">
        <w:rPr>
          <w:rFonts w:hint="eastAsia"/>
          <w:bCs/>
        </w:rPr>
        <w:t>及本</w:t>
      </w:r>
      <w:r w:rsidR="007469F2" w:rsidRPr="007672D3">
        <w:rPr>
          <w:rFonts w:hint="eastAsia"/>
        </w:rPr>
        <w:t>项目实际情况，本着公</w:t>
      </w:r>
      <w:r w:rsidR="008E1F8B" w:rsidRPr="007672D3">
        <w:rPr>
          <w:rFonts w:hint="eastAsia"/>
        </w:rPr>
        <w:t>开</w:t>
      </w:r>
      <w:r w:rsidR="007469F2" w:rsidRPr="007672D3">
        <w:rPr>
          <w:rFonts w:hint="eastAsia"/>
        </w:rPr>
        <w:t>公正</w:t>
      </w:r>
      <w:r w:rsidR="006D2F32">
        <w:rPr>
          <w:rFonts w:hint="eastAsia"/>
        </w:rPr>
        <w:t>、</w:t>
      </w:r>
      <w:r w:rsidR="007469F2" w:rsidRPr="007672D3">
        <w:rPr>
          <w:rFonts w:hint="eastAsia"/>
        </w:rPr>
        <w:t>从优递</w:t>
      </w:r>
      <w:r w:rsidR="007469F2" w:rsidRPr="007B5D3A">
        <w:rPr>
          <w:rFonts w:hint="eastAsia"/>
        </w:rPr>
        <w:t>次</w:t>
      </w:r>
      <w:r w:rsidR="007469F2" w:rsidRPr="007672D3">
        <w:rPr>
          <w:rFonts w:hint="eastAsia"/>
        </w:rPr>
        <w:t>选房的原则，</w:t>
      </w:r>
      <w:r w:rsidR="007D2F98" w:rsidRPr="007672D3">
        <w:rPr>
          <w:rFonts w:hint="eastAsia"/>
        </w:rPr>
        <w:t>第</w:t>
      </w:r>
      <w:r w:rsidR="008E1F8B" w:rsidRPr="007672D3">
        <w:rPr>
          <w:rFonts w:hint="eastAsia"/>
        </w:rPr>
        <w:t>一</w:t>
      </w:r>
      <w:r w:rsidR="00043749" w:rsidRPr="007672D3">
        <w:rPr>
          <w:rFonts w:hint="eastAsia"/>
        </w:rPr>
        <w:t>批次配售房源共计</w:t>
      </w:r>
      <w:r w:rsidRPr="007672D3">
        <w:t>532</w:t>
      </w:r>
      <w:r w:rsidR="00043749" w:rsidRPr="007672D3">
        <w:rPr>
          <w:rFonts w:hint="eastAsia"/>
        </w:rPr>
        <w:t>套，其中非本市户籍家庭1</w:t>
      </w:r>
      <w:r w:rsidR="00043749" w:rsidRPr="007672D3">
        <w:t>21</w:t>
      </w:r>
      <w:r w:rsidR="00043749" w:rsidRPr="007672D3">
        <w:rPr>
          <w:rFonts w:hint="eastAsia"/>
        </w:rPr>
        <w:t>套，本市户籍家庭</w:t>
      </w:r>
      <w:r w:rsidRPr="007672D3">
        <w:rPr>
          <w:rFonts w:hint="eastAsia"/>
        </w:rPr>
        <w:t>4</w:t>
      </w:r>
      <w:r w:rsidRPr="007672D3">
        <w:t>11</w:t>
      </w:r>
      <w:r w:rsidR="00043749" w:rsidRPr="007672D3">
        <w:rPr>
          <w:rFonts w:hint="eastAsia"/>
        </w:rPr>
        <w:t>套。</w:t>
      </w:r>
      <w:r w:rsidR="008B30A7" w:rsidRPr="007672D3">
        <w:rPr>
          <w:rFonts w:hint="eastAsia"/>
        </w:rPr>
        <w:t>当</w:t>
      </w:r>
      <w:r w:rsidR="007D2F98" w:rsidRPr="007672D3">
        <w:rPr>
          <w:rFonts w:hint="eastAsia"/>
        </w:rPr>
        <w:t>第</w:t>
      </w:r>
      <w:r w:rsidR="008B30A7" w:rsidRPr="007672D3">
        <w:rPr>
          <w:rFonts w:hint="eastAsia"/>
        </w:rPr>
        <w:t>一批次房源</w:t>
      </w:r>
      <w:proofErr w:type="gramStart"/>
      <w:r w:rsidR="008B30A7" w:rsidRPr="007672D3">
        <w:rPr>
          <w:rFonts w:hint="eastAsia"/>
        </w:rPr>
        <w:t>选房率达到</w:t>
      </w:r>
      <w:proofErr w:type="gramEnd"/>
      <w:r w:rsidR="008B30A7" w:rsidRPr="007672D3">
        <w:rPr>
          <w:rFonts w:hint="eastAsia"/>
        </w:rPr>
        <w:t>60%</w:t>
      </w:r>
      <w:r w:rsidR="007D2F98" w:rsidRPr="007672D3">
        <w:rPr>
          <w:rFonts w:hint="eastAsia"/>
        </w:rPr>
        <w:t>时</w:t>
      </w:r>
      <w:r w:rsidR="008B30A7" w:rsidRPr="007672D3">
        <w:rPr>
          <w:rFonts w:hint="eastAsia"/>
        </w:rPr>
        <w:t>，则加推</w:t>
      </w:r>
      <w:r w:rsidR="007D2F98" w:rsidRPr="007672D3">
        <w:rPr>
          <w:rFonts w:hint="eastAsia"/>
        </w:rPr>
        <w:t>第二</w:t>
      </w:r>
      <w:r w:rsidR="008B30A7" w:rsidRPr="007672D3">
        <w:rPr>
          <w:rFonts w:hint="eastAsia"/>
        </w:rPr>
        <w:t>批次房源，以此类推。</w:t>
      </w:r>
      <w:r w:rsidR="00043749" w:rsidRPr="007672D3">
        <w:rPr>
          <w:rFonts w:hint="eastAsia"/>
        </w:rPr>
        <w:t>具体</w:t>
      </w:r>
      <w:r w:rsidR="008B30A7" w:rsidRPr="007672D3">
        <w:rPr>
          <w:rFonts w:hint="eastAsia"/>
        </w:rPr>
        <w:t>配售</w:t>
      </w:r>
      <w:r w:rsidR="007469F2" w:rsidRPr="007672D3">
        <w:t>方案</w:t>
      </w:r>
      <w:r w:rsidR="008B30A7" w:rsidRPr="007672D3">
        <w:rPr>
          <w:rFonts w:hint="eastAsia"/>
        </w:rPr>
        <w:t>详见下表</w:t>
      </w:r>
      <w:r w:rsidR="007469F2" w:rsidRPr="007672D3">
        <w:t>：</w:t>
      </w:r>
    </w:p>
    <w:tbl>
      <w:tblPr>
        <w:tblW w:w="5000" w:type="pct"/>
        <w:tblLook w:val="04A0"/>
      </w:tblPr>
      <w:tblGrid>
        <w:gridCol w:w="778"/>
        <w:gridCol w:w="1077"/>
        <w:gridCol w:w="1077"/>
        <w:gridCol w:w="1077"/>
        <w:gridCol w:w="1242"/>
        <w:gridCol w:w="3695"/>
      </w:tblGrid>
      <w:tr w:rsidR="00A62E98" w:rsidRPr="007672D3" w:rsidTr="00AC4631">
        <w:trPr>
          <w:trHeight w:val="360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B30A7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推售</w:t>
            </w:r>
          </w:p>
          <w:p w:rsidR="00A62E98" w:rsidRPr="007672D3" w:rsidRDefault="00C24B73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批次</w:t>
            </w:r>
          </w:p>
        </w:tc>
        <w:tc>
          <w:tcPr>
            <w:tcW w:w="12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非本市户籍</w:t>
            </w:r>
            <w:r w:rsidR="00C24B73" w:rsidRPr="007672D3">
              <w:rPr>
                <w:rFonts w:hint="eastAsia"/>
                <w:bCs/>
                <w:color w:val="000000"/>
                <w:sz w:val="16"/>
                <w:szCs w:val="16"/>
              </w:rPr>
              <w:t>家庭</w:t>
            </w: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房源小计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房源占</w:t>
            </w:r>
            <w:proofErr w:type="gramEnd"/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比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推售原则说明</w:t>
            </w:r>
          </w:p>
        </w:tc>
      </w:tr>
      <w:tr w:rsidR="00A62E98" w:rsidRPr="007672D3" w:rsidTr="00AC4631">
        <w:trPr>
          <w:trHeight w:val="312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A62E98" w:rsidRPr="007672D3" w:rsidTr="00AC4631">
        <w:trPr>
          <w:trHeight w:val="200"/>
        </w:trPr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楼号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套数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62E98" w:rsidRPr="007672D3" w:rsidRDefault="00A62E98" w:rsidP="00A62E98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413"/>
        </w:trPr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13#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7B5D3A" w:rsidP="00A62E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约</w:t>
            </w:r>
            <w:r w:rsidR="00A62E98" w:rsidRPr="007672D3">
              <w:rPr>
                <w:rFonts w:hint="eastAsia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20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【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非本市户籍家庭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房源】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br/>
              <w:t>（1）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第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一批次：优先配售 13#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全部房源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、15#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proofErr w:type="gramStart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居室1套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；</w:t>
            </w:r>
          </w:p>
        </w:tc>
      </w:tr>
      <w:tr w:rsidR="00A62E98" w:rsidRPr="007672D3" w:rsidTr="00C73886">
        <w:trPr>
          <w:trHeight w:val="32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15#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AC4631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7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（2）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第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二批次：当</w:t>
            </w:r>
            <w:r w:rsidR="00AA4635" w:rsidRPr="007672D3">
              <w:rPr>
                <w:rFonts w:hint="eastAsia"/>
                <w:color w:val="000000"/>
                <w:sz w:val="16"/>
                <w:szCs w:val="16"/>
              </w:rPr>
              <w:t>第</w:t>
            </w:r>
            <w:bookmarkStart w:id="0" w:name="_GoBack"/>
            <w:bookmarkEnd w:id="0"/>
            <w:r w:rsidRPr="007672D3">
              <w:rPr>
                <w:rFonts w:hint="eastAsia"/>
                <w:color w:val="000000"/>
                <w:sz w:val="16"/>
                <w:szCs w:val="16"/>
              </w:rPr>
              <w:t>一批次房源</w:t>
            </w:r>
            <w:proofErr w:type="gramStart"/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选房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率达到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60%，即73套，则加推7#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全部房源。</w:t>
            </w:r>
          </w:p>
        </w:tc>
      </w:tr>
      <w:tr w:rsidR="00A62E98" w:rsidRPr="007672D3" w:rsidTr="00AC4631">
        <w:trPr>
          <w:trHeight w:val="360"/>
        </w:trPr>
        <w:tc>
          <w:tcPr>
            <w:tcW w:w="43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8B30A7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推售</w:t>
            </w:r>
          </w:p>
          <w:p w:rsidR="00A62E98" w:rsidRPr="007672D3" w:rsidRDefault="00C24B73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批次</w:t>
            </w:r>
          </w:p>
        </w:tc>
        <w:tc>
          <w:tcPr>
            <w:tcW w:w="1204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本市户籍</w:t>
            </w:r>
            <w:r w:rsidR="00C24B73" w:rsidRPr="007672D3">
              <w:rPr>
                <w:rFonts w:hint="eastAsia"/>
                <w:bCs/>
                <w:color w:val="000000"/>
                <w:sz w:val="16"/>
                <w:szCs w:val="16"/>
              </w:rPr>
              <w:t>家庭</w:t>
            </w: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</w:t>
            </w:r>
          </w:p>
        </w:tc>
        <w:tc>
          <w:tcPr>
            <w:tcW w:w="60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房源小计</w:t>
            </w:r>
          </w:p>
        </w:tc>
        <w:tc>
          <w:tcPr>
            <w:tcW w:w="69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gramStart"/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房源占</w:t>
            </w:r>
            <w:proofErr w:type="gramEnd"/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比</w:t>
            </w:r>
          </w:p>
        </w:tc>
        <w:tc>
          <w:tcPr>
            <w:tcW w:w="206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推售原则说明</w:t>
            </w: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2E98" w:rsidRPr="007672D3" w:rsidTr="00AC4631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楼号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bCs/>
                <w:color w:val="000000"/>
                <w:sz w:val="16"/>
                <w:szCs w:val="16"/>
              </w:rPr>
              <w:t>套数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8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6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7B5D3A" w:rsidP="00A62E98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约</w:t>
            </w:r>
            <w:r w:rsidR="00A62E98" w:rsidRPr="007672D3">
              <w:rPr>
                <w:rFonts w:hint="eastAsia"/>
                <w:bCs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0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0A7" w:rsidRPr="007672D3" w:rsidRDefault="00A62E98" w:rsidP="008B30A7">
            <w:pPr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【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本市户籍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家庭房源】</w:t>
            </w:r>
          </w:p>
          <w:p w:rsidR="00A62E98" w:rsidRPr="007672D3" w:rsidRDefault="00A62E98" w:rsidP="008B30A7">
            <w:pPr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（1）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第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一批次：优先配售8</w:t>
            </w:r>
            <w:r w:rsidR="008B30A7" w:rsidRPr="007672D3">
              <w:rPr>
                <w:color w:val="000000"/>
                <w:sz w:val="16"/>
                <w:szCs w:val="16"/>
              </w:rPr>
              <w:t>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全部房源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、9</w:t>
            </w:r>
            <w:r w:rsidR="008B30A7" w:rsidRPr="007672D3">
              <w:rPr>
                <w:color w:val="000000"/>
                <w:sz w:val="16"/>
                <w:szCs w:val="16"/>
              </w:rPr>
              <w:t>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全部房源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、12</w:t>
            </w:r>
            <w:r w:rsidR="00C24B73" w:rsidRPr="007672D3">
              <w:rPr>
                <w:color w:val="000000"/>
                <w:sz w:val="16"/>
                <w:szCs w:val="16"/>
              </w:rPr>
              <w:t>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全部房源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、2#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proofErr w:type="gramStart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居室1套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、4#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proofErr w:type="gramStart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居室1套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、11#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</w:t>
            </w:r>
            <w:proofErr w:type="gramStart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="008B30A7" w:rsidRPr="007672D3">
              <w:rPr>
                <w:rFonts w:hint="eastAsia"/>
                <w:color w:val="000000"/>
                <w:sz w:val="16"/>
                <w:szCs w:val="16"/>
              </w:rPr>
              <w:t>居室1套。</w:t>
            </w: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9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4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11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19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（2）剩余批次：当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第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一批次房源</w:t>
            </w:r>
            <w:proofErr w:type="gramStart"/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选房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率达到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60%，即247套，则加推</w:t>
            </w:r>
            <w:r w:rsidR="00584C3E" w:rsidRPr="007672D3">
              <w:rPr>
                <w:rFonts w:hint="eastAsia"/>
                <w:color w:val="000000"/>
                <w:sz w:val="16"/>
                <w:szCs w:val="16"/>
              </w:rPr>
              <w:t>第二批次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19#楼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全部房源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；按照上一批次楼栋</w:t>
            </w:r>
            <w:proofErr w:type="gramStart"/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选房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率达到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60%即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配售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下一</w:t>
            </w:r>
            <w:r w:rsidR="00210224" w:rsidRPr="007672D3">
              <w:rPr>
                <w:rFonts w:hint="eastAsia"/>
                <w:color w:val="000000"/>
                <w:sz w:val="16"/>
                <w:szCs w:val="16"/>
              </w:rPr>
              <w:t>批次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楼栋的原则，推售顺序为：21#、6#、14#、3#、20#、10#、5#、18#、22#、1#、16#、17#、2#（除</w:t>
            </w:r>
            <w:proofErr w:type="gramStart"/>
            <w:r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居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室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1套）、4#（除</w:t>
            </w:r>
            <w:proofErr w:type="gramStart"/>
            <w:r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居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室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1套）、11#（除</w:t>
            </w:r>
            <w:proofErr w:type="gramStart"/>
            <w:r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居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室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1套）、15#（除</w:t>
            </w:r>
            <w:proofErr w:type="gramStart"/>
            <w:r w:rsidRPr="007672D3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Pr="007672D3">
              <w:rPr>
                <w:rFonts w:hint="eastAsia"/>
                <w:color w:val="000000"/>
                <w:sz w:val="16"/>
                <w:szCs w:val="16"/>
              </w:rPr>
              <w:t>居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室</w:t>
            </w:r>
            <w:r w:rsidRPr="007672D3">
              <w:rPr>
                <w:rFonts w:hint="eastAsia"/>
                <w:color w:val="000000"/>
                <w:sz w:val="16"/>
                <w:szCs w:val="16"/>
              </w:rPr>
              <w:t>1套）</w:t>
            </w:r>
            <w:r w:rsidR="00C24B73" w:rsidRPr="007672D3">
              <w:rPr>
                <w:rFonts w:hint="eastAsia"/>
                <w:color w:val="000000"/>
                <w:sz w:val="16"/>
                <w:szCs w:val="16"/>
              </w:rPr>
              <w:t>楼。</w:t>
            </w: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21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14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3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20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10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18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22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16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17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2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4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11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  <w:tr w:rsidR="00A62E98" w:rsidRPr="007672D3" w:rsidTr="00C73886">
        <w:trPr>
          <w:trHeight w:val="360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15</w:t>
            </w:r>
            <w:r w:rsidR="00C73886" w:rsidRPr="007672D3">
              <w:rPr>
                <w:color w:val="000000"/>
                <w:sz w:val="16"/>
                <w:szCs w:val="16"/>
              </w:rPr>
              <w:t>#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E98" w:rsidRPr="007672D3" w:rsidRDefault="00A62E98" w:rsidP="00A62E98">
            <w:pPr>
              <w:jc w:val="center"/>
              <w:rPr>
                <w:color w:val="000000"/>
                <w:sz w:val="16"/>
                <w:szCs w:val="16"/>
              </w:rPr>
            </w:pPr>
            <w:r w:rsidRPr="007672D3">
              <w:rPr>
                <w:rFonts w:hint="eastAsi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E98" w:rsidRPr="007672D3" w:rsidRDefault="00A62E98" w:rsidP="00A62E98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87529" w:rsidRPr="007672D3" w:rsidRDefault="00F87529">
      <w:pPr>
        <w:spacing w:line="360" w:lineRule="auto"/>
        <w:ind w:firstLineChars="200" w:firstLine="480"/>
        <w:jc w:val="center"/>
        <w:rPr>
          <w:bCs/>
        </w:rPr>
      </w:pPr>
    </w:p>
    <w:sectPr w:rsidR="00F87529" w:rsidRPr="007672D3" w:rsidSect="00B53385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8B" w:rsidRDefault="00AA048B" w:rsidP="007672D3">
      <w:r>
        <w:separator/>
      </w:r>
    </w:p>
  </w:endnote>
  <w:endnote w:type="continuationSeparator" w:id="0">
    <w:p w:rsidR="00AA048B" w:rsidRDefault="00AA048B" w:rsidP="0076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8B" w:rsidRDefault="00AA048B" w:rsidP="007672D3">
      <w:r>
        <w:separator/>
      </w:r>
    </w:p>
  </w:footnote>
  <w:footnote w:type="continuationSeparator" w:id="0">
    <w:p w:rsidR="00AA048B" w:rsidRDefault="00AA048B" w:rsidP="00767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431E9"/>
    <w:multiLevelType w:val="hybridMultilevel"/>
    <w:tmpl w:val="98D0CC38"/>
    <w:lvl w:ilvl="0" w:tplc="495E180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528"/>
    <w:rsid w:val="000233DE"/>
    <w:rsid w:val="00041CF1"/>
    <w:rsid w:val="00042539"/>
    <w:rsid w:val="00043749"/>
    <w:rsid w:val="00055B9D"/>
    <w:rsid w:val="000750F6"/>
    <w:rsid w:val="00081BBB"/>
    <w:rsid w:val="00090474"/>
    <w:rsid w:val="000C1120"/>
    <w:rsid w:val="000C4AEF"/>
    <w:rsid w:val="001164D5"/>
    <w:rsid w:val="001663F8"/>
    <w:rsid w:val="00171247"/>
    <w:rsid w:val="001A7A20"/>
    <w:rsid w:val="001F1256"/>
    <w:rsid w:val="001F65F4"/>
    <w:rsid w:val="00200EAC"/>
    <w:rsid w:val="00210224"/>
    <w:rsid w:val="00240BC6"/>
    <w:rsid w:val="00273BBE"/>
    <w:rsid w:val="002B0081"/>
    <w:rsid w:val="002B0FDB"/>
    <w:rsid w:val="002C55DC"/>
    <w:rsid w:val="00312622"/>
    <w:rsid w:val="00317EB2"/>
    <w:rsid w:val="00346ADA"/>
    <w:rsid w:val="00364193"/>
    <w:rsid w:val="0038227D"/>
    <w:rsid w:val="003827A8"/>
    <w:rsid w:val="003E212B"/>
    <w:rsid w:val="003F1FF4"/>
    <w:rsid w:val="004D2528"/>
    <w:rsid w:val="004F0DEC"/>
    <w:rsid w:val="00543566"/>
    <w:rsid w:val="005518C0"/>
    <w:rsid w:val="00584C3E"/>
    <w:rsid w:val="00584F6D"/>
    <w:rsid w:val="005A7B6D"/>
    <w:rsid w:val="005C5AB0"/>
    <w:rsid w:val="0067280B"/>
    <w:rsid w:val="00691F70"/>
    <w:rsid w:val="00695D96"/>
    <w:rsid w:val="006A4392"/>
    <w:rsid w:val="006D2F32"/>
    <w:rsid w:val="006D3F98"/>
    <w:rsid w:val="007206E6"/>
    <w:rsid w:val="0072399B"/>
    <w:rsid w:val="007469F2"/>
    <w:rsid w:val="0075738B"/>
    <w:rsid w:val="007672D3"/>
    <w:rsid w:val="007B3542"/>
    <w:rsid w:val="007B5D3A"/>
    <w:rsid w:val="007D072B"/>
    <w:rsid w:val="007D2F98"/>
    <w:rsid w:val="00802FCA"/>
    <w:rsid w:val="00811EF6"/>
    <w:rsid w:val="008B30A7"/>
    <w:rsid w:val="008E1F8B"/>
    <w:rsid w:val="00903FDB"/>
    <w:rsid w:val="00914451"/>
    <w:rsid w:val="00934A28"/>
    <w:rsid w:val="00950BC4"/>
    <w:rsid w:val="009669C4"/>
    <w:rsid w:val="00966C56"/>
    <w:rsid w:val="00967B21"/>
    <w:rsid w:val="00983ADC"/>
    <w:rsid w:val="009B38CA"/>
    <w:rsid w:val="009B392D"/>
    <w:rsid w:val="00A4735D"/>
    <w:rsid w:val="00A62E98"/>
    <w:rsid w:val="00AA048B"/>
    <w:rsid w:val="00AA4635"/>
    <w:rsid w:val="00AC4631"/>
    <w:rsid w:val="00AF5048"/>
    <w:rsid w:val="00B35069"/>
    <w:rsid w:val="00B53385"/>
    <w:rsid w:val="00B8030B"/>
    <w:rsid w:val="00BC2641"/>
    <w:rsid w:val="00C24B73"/>
    <w:rsid w:val="00C251F3"/>
    <w:rsid w:val="00C2584D"/>
    <w:rsid w:val="00C35093"/>
    <w:rsid w:val="00C676DD"/>
    <w:rsid w:val="00C73886"/>
    <w:rsid w:val="00DA1202"/>
    <w:rsid w:val="00DD2D93"/>
    <w:rsid w:val="00DE2367"/>
    <w:rsid w:val="00E01233"/>
    <w:rsid w:val="00E53FCC"/>
    <w:rsid w:val="00EA76F0"/>
    <w:rsid w:val="00ED68B7"/>
    <w:rsid w:val="00F8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02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0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67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72D3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72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72D3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娜娜◆ ∞◆暯小</dc:creator>
  <cp:keywords/>
  <dc:description/>
  <cp:lastModifiedBy>赵晨</cp:lastModifiedBy>
  <cp:revision>38</cp:revision>
  <dcterms:created xsi:type="dcterms:W3CDTF">2018-12-16T11:35:00Z</dcterms:created>
  <dcterms:modified xsi:type="dcterms:W3CDTF">2018-12-18T01:32:00Z</dcterms:modified>
</cp:coreProperties>
</file>