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D8" w:rsidRDefault="008447D8" w:rsidP="003B0E4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附件4</w:t>
      </w:r>
    </w:p>
    <w:p w:rsidR="008447D8" w:rsidRDefault="008447D8" w:rsidP="008447D8">
      <w:pPr>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危险性较大的分部分项工程汇总表</w:t>
      </w:r>
    </w:p>
    <w:p w:rsidR="008447D8" w:rsidRDefault="008447D8" w:rsidP="008447D8">
      <w:pPr>
        <w:spacing w:line="460" w:lineRule="exact"/>
        <w:jc w:val="center"/>
        <w:rPr>
          <w:rFonts w:ascii="方正小标宋简体" w:eastAsia="方正小标宋简体" w:hAnsi="方正小标宋简体" w:cs="方正小标宋简体"/>
          <w:sz w:val="44"/>
          <w:szCs w:val="44"/>
        </w:rPr>
      </w:pPr>
    </w:p>
    <w:tbl>
      <w:tblPr>
        <w:tblW w:w="9751" w:type="dxa"/>
        <w:tblInd w:w="-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08"/>
        <w:gridCol w:w="3052"/>
        <w:gridCol w:w="1286"/>
        <w:gridCol w:w="43"/>
        <w:gridCol w:w="2154"/>
        <w:gridCol w:w="1908"/>
      </w:tblGrid>
      <w:tr w:rsidR="008447D8" w:rsidTr="00873B1D">
        <w:trPr>
          <w:trHeight w:val="659"/>
        </w:trPr>
        <w:tc>
          <w:tcPr>
            <w:tcW w:w="5646" w:type="dxa"/>
            <w:gridSpan w:val="3"/>
            <w:tcBorders>
              <w:tl2br w:val="nil"/>
              <w:tr2bl w:val="nil"/>
            </w:tcBorders>
            <w:vAlign w:val="center"/>
          </w:tcPr>
          <w:p w:rsidR="008447D8" w:rsidRDefault="008447D8" w:rsidP="00873B1D">
            <w:pPr>
              <w:jc w:val="center"/>
              <w:rPr>
                <w:rFonts w:ascii="黑体" w:eastAsia="黑体" w:hAnsi="黑体" w:cs="黑体"/>
                <w:kern w:val="0"/>
                <w:sz w:val="24"/>
              </w:rPr>
            </w:pPr>
            <w:r>
              <w:rPr>
                <w:rFonts w:ascii="黑体" w:eastAsia="黑体" w:hAnsi="黑体" w:cs="黑体" w:hint="eastAsia"/>
                <w:kern w:val="0"/>
                <w:sz w:val="24"/>
              </w:rPr>
              <w:t>危险性较大的分部分项工程汇总表</w:t>
            </w:r>
          </w:p>
          <w:p w:rsidR="008447D8" w:rsidRDefault="008447D8" w:rsidP="00873B1D">
            <w:pPr>
              <w:jc w:val="center"/>
              <w:rPr>
                <w:rFonts w:ascii="仿宋_GB2312" w:eastAsia="仿宋_GB2312" w:hAnsi="宋体" w:cs="宋体"/>
                <w:b/>
                <w:bCs/>
                <w:kern w:val="0"/>
                <w:sz w:val="24"/>
              </w:rPr>
            </w:pPr>
            <w:r>
              <w:rPr>
                <w:rFonts w:ascii="黑体" w:eastAsia="黑体" w:hAnsi="黑体" w:cs="黑体" w:hint="eastAsia"/>
                <w:kern w:val="0"/>
                <w:sz w:val="24"/>
              </w:rPr>
              <w:t>表AQ-C1-2</w:t>
            </w:r>
          </w:p>
        </w:tc>
        <w:tc>
          <w:tcPr>
            <w:tcW w:w="2197" w:type="dxa"/>
            <w:gridSpan w:val="2"/>
            <w:tcBorders>
              <w:tl2br w:val="nil"/>
              <w:tr2bl w:val="nil"/>
            </w:tcBorders>
            <w:vAlign w:val="center"/>
          </w:tcPr>
          <w:p w:rsidR="008447D8" w:rsidRDefault="008447D8" w:rsidP="00873B1D">
            <w:pPr>
              <w:jc w:val="center"/>
              <w:rPr>
                <w:rFonts w:ascii="仿宋_GB2312" w:eastAsia="仿宋_GB2312" w:hAnsi="宋体" w:cs="宋体"/>
                <w:b/>
                <w:bCs/>
                <w:kern w:val="0"/>
                <w:sz w:val="24"/>
              </w:rPr>
            </w:pPr>
            <w:r>
              <w:rPr>
                <w:rFonts w:ascii="黑体" w:eastAsia="黑体" w:hAnsi="黑体" w:cs="黑体" w:hint="eastAsia"/>
                <w:kern w:val="0"/>
                <w:sz w:val="24"/>
              </w:rPr>
              <w:t>编号</w:t>
            </w:r>
          </w:p>
        </w:tc>
        <w:tc>
          <w:tcPr>
            <w:tcW w:w="1908" w:type="dxa"/>
            <w:tcBorders>
              <w:tl2br w:val="nil"/>
              <w:tr2bl w:val="nil"/>
            </w:tcBorders>
            <w:vAlign w:val="center"/>
          </w:tcPr>
          <w:p w:rsidR="008447D8" w:rsidRDefault="008447D8" w:rsidP="00873B1D">
            <w:pPr>
              <w:jc w:val="right"/>
              <w:rPr>
                <w:rFonts w:ascii="仿宋_GB2312" w:eastAsia="仿宋_GB2312" w:hAnsi="宋体" w:cs="宋体"/>
                <w:b/>
                <w:bCs/>
                <w:kern w:val="0"/>
                <w:sz w:val="24"/>
              </w:rPr>
            </w:pPr>
          </w:p>
        </w:tc>
      </w:tr>
      <w:tr w:rsidR="008447D8" w:rsidTr="00873B1D">
        <w:trPr>
          <w:trHeight w:val="435"/>
        </w:trPr>
        <w:tc>
          <w:tcPr>
            <w:tcW w:w="1308" w:type="dxa"/>
            <w:tcBorders>
              <w:tl2br w:val="nil"/>
              <w:tr2bl w:val="nil"/>
            </w:tcBorders>
            <w:vAlign w:val="center"/>
          </w:tcPr>
          <w:p w:rsidR="008447D8" w:rsidRDefault="008447D8" w:rsidP="00873B1D">
            <w:pPr>
              <w:jc w:val="right"/>
              <w:rPr>
                <w:rFonts w:ascii="仿宋_GB2312" w:eastAsia="仿宋_GB2312" w:hAnsi="宋体" w:cs="宋体"/>
                <w:b/>
                <w:bCs/>
                <w:kern w:val="0"/>
                <w:sz w:val="24"/>
              </w:rPr>
            </w:pPr>
            <w:r>
              <w:rPr>
                <w:rFonts w:ascii="黑体" w:eastAsia="黑体" w:hAnsi="黑体" w:cs="黑体" w:hint="eastAsia"/>
                <w:kern w:val="0"/>
                <w:sz w:val="24"/>
              </w:rPr>
              <w:t>工程名称</w:t>
            </w:r>
          </w:p>
        </w:tc>
        <w:tc>
          <w:tcPr>
            <w:tcW w:w="8443" w:type="dxa"/>
            <w:gridSpan w:val="5"/>
            <w:tcBorders>
              <w:tl2br w:val="nil"/>
              <w:tr2bl w:val="nil"/>
            </w:tcBorders>
            <w:vAlign w:val="center"/>
          </w:tcPr>
          <w:p w:rsidR="008447D8" w:rsidRDefault="008447D8" w:rsidP="00873B1D">
            <w:pPr>
              <w:jc w:val="right"/>
              <w:rPr>
                <w:rFonts w:ascii="仿宋_GB2312" w:eastAsia="仿宋_GB2312" w:hAnsi="宋体" w:cs="宋体"/>
                <w:b/>
                <w:bCs/>
                <w:kern w:val="0"/>
                <w:sz w:val="24"/>
              </w:rPr>
            </w:pPr>
          </w:p>
        </w:tc>
      </w:tr>
      <w:tr w:rsidR="008447D8" w:rsidTr="00873B1D">
        <w:trPr>
          <w:trHeight w:val="435"/>
        </w:trPr>
        <w:tc>
          <w:tcPr>
            <w:tcW w:w="1308" w:type="dxa"/>
            <w:tcBorders>
              <w:tl2br w:val="nil"/>
              <w:tr2bl w:val="nil"/>
            </w:tcBorders>
            <w:vAlign w:val="center"/>
          </w:tcPr>
          <w:p w:rsidR="008447D8" w:rsidRDefault="008447D8" w:rsidP="00873B1D">
            <w:pPr>
              <w:jc w:val="right"/>
              <w:rPr>
                <w:rFonts w:ascii="黑体" w:eastAsia="黑体" w:hAnsi="黑体" w:cs="黑体"/>
                <w:kern w:val="0"/>
                <w:sz w:val="24"/>
              </w:rPr>
            </w:pPr>
            <w:r>
              <w:rPr>
                <w:rFonts w:ascii="黑体" w:eastAsia="黑体" w:hAnsi="黑体" w:cs="黑体" w:hint="eastAsia"/>
                <w:kern w:val="0"/>
                <w:sz w:val="24"/>
              </w:rPr>
              <w:t>施工单位</w:t>
            </w:r>
          </w:p>
        </w:tc>
        <w:tc>
          <w:tcPr>
            <w:tcW w:w="3052" w:type="dxa"/>
            <w:tcBorders>
              <w:tl2br w:val="nil"/>
              <w:tr2bl w:val="nil"/>
            </w:tcBorders>
            <w:vAlign w:val="center"/>
          </w:tcPr>
          <w:p w:rsidR="008447D8" w:rsidRDefault="008447D8" w:rsidP="00873B1D">
            <w:pPr>
              <w:jc w:val="right"/>
              <w:rPr>
                <w:rFonts w:ascii="黑体" w:eastAsia="黑体" w:hAnsi="黑体" w:cs="黑体"/>
                <w:kern w:val="0"/>
                <w:sz w:val="24"/>
              </w:rPr>
            </w:pPr>
          </w:p>
        </w:tc>
        <w:tc>
          <w:tcPr>
            <w:tcW w:w="1329" w:type="dxa"/>
            <w:gridSpan w:val="2"/>
            <w:tcBorders>
              <w:tl2br w:val="nil"/>
              <w:tr2bl w:val="nil"/>
            </w:tcBorders>
            <w:vAlign w:val="center"/>
          </w:tcPr>
          <w:p w:rsidR="008447D8" w:rsidRDefault="008447D8" w:rsidP="00873B1D">
            <w:pPr>
              <w:jc w:val="right"/>
              <w:rPr>
                <w:rFonts w:ascii="黑体" w:eastAsia="黑体" w:hAnsi="黑体" w:cs="黑体"/>
                <w:kern w:val="0"/>
                <w:sz w:val="24"/>
              </w:rPr>
            </w:pPr>
            <w:r>
              <w:rPr>
                <w:rFonts w:ascii="黑体" w:eastAsia="黑体" w:hAnsi="黑体" w:cs="黑体" w:hint="eastAsia"/>
                <w:kern w:val="0"/>
                <w:sz w:val="24"/>
              </w:rPr>
              <w:t>监理单位</w:t>
            </w:r>
          </w:p>
        </w:tc>
        <w:tc>
          <w:tcPr>
            <w:tcW w:w="4062" w:type="dxa"/>
            <w:gridSpan w:val="2"/>
            <w:tcBorders>
              <w:tl2br w:val="nil"/>
              <w:tr2bl w:val="nil"/>
            </w:tcBorders>
            <w:vAlign w:val="center"/>
          </w:tcPr>
          <w:p w:rsidR="008447D8" w:rsidRDefault="008447D8" w:rsidP="00873B1D">
            <w:pPr>
              <w:jc w:val="right"/>
              <w:rPr>
                <w:rFonts w:ascii="黑体" w:eastAsia="黑体" w:hAnsi="黑体" w:cs="黑体"/>
                <w:kern w:val="0"/>
                <w:sz w:val="24"/>
              </w:rPr>
            </w:pPr>
          </w:p>
        </w:tc>
      </w:tr>
      <w:tr w:rsidR="008447D8" w:rsidTr="00873B1D">
        <w:trPr>
          <w:trHeight w:val="435"/>
        </w:trPr>
        <w:tc>
          <w:tcPr>
            <w:tcW w:w="7843" w:type="dxa"/>
            <w:gridSpan w:val="5"/>
            <w:tcBorders>
              <w:tl2br w:val="nil"/>
              <w:tr2bl w:val="nil"/>
            </w:tcBorders>
            <w:vAlign w:val="center"/>
          </w:tcPr>
          <w:p w:rsidR="008447D8" w:rsidRDefault="008447D8" w:rsidP="00873B1D">
            <w:pPr>
              <w:widowControl/>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一、危险性较大的分部分项工程</w:t>
            </w:r>
          </w:p>
        </w:tc>
        <w:tc>
          <w:tcPr>
            <w:tcW w:w="1908" w:type="dxa"/>
            <w:tcBorders>
              <w:tl2br w:val="nil"/>
              <w:tr2bl w:val="nil"/>
            </w:tcBorders>
            <w:vAlign w:val="center"/>
          </w:tcPr>
          <w:p w:rsidR="008447D8" w:rsidRDefault="008447D8" w:rsidP="00873B1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如</w:t>
            </w:r>
            <w:proofErr w:type="gramStart"/>
            <w:r>
              <w:rPr>
                <w:rFonts w:ascii="仿宋_GB2312" w:eastAsia="仿宋_GB2312" w:hAnsi="宋体" w:cs="宋体" w:hint="eastAsia"/>
                <w:b/>
                <w:bCs/>
                <w:kern w:val="0"/>
                <w:sz w:val="24"/>
              </w:rPr>
              <w:t>涉及请</w:t>
            </w:r>
            <w:proofErr w:type="gramEnd"/>
            <w:r>
              <w:rPr>
                <w:rFonts w:ascii="仿宋_GB2312" w:eastAsia="仿宋_GB2312" w:hAnsi="宋体" w:cs="宋体" w:hint="eastAsia"/>
                <w:b/>
                <w:bCs/>
                <w:kern w:val="0"/>
                <w:sz w:val="24"/>
              </w:rPr>
              <w:t>在</w:t>
            </w:r>
          </w:p>
          <w:p w:rsidR="008447D8" w:rsidRDefault="008447D8" w:rsidP="00873B1D">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括号里打√</w:t>
            </w:r>
          </w:p>
        </w:tc>
      </w:tr>
      <w:tr w:rsidR="008447D8" w:rsidTr="00873B1D">
        <w:trPr>
          <w:trHeight w:val="90"/>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kern w:val="0"/>
                <w:sz w:val="24"/>
              </w:rPr>
              <w:t>（</w:t>
            </w:r>
            <w:r>
              <w:rPr>
                <w:rFonts w:ascii="仿宋_GB2312" w:eastAsia="仿宋_GB2312" w:hAnsi="宋体" w:cs="宋体" w:hint="eastAsia"/>
                <w:b/>
                <w:bCs/>
                <w:kern w:val="0"/>
                <w:sz w:val="24"/>
              </w:rPr>
              <w:t>一</w:t>
            </w:r>
            <w:r>
              <w:rPr>
                <w:rFonts w:ascii="仿宋_GB2312" w:eastAsia="仿宋_GB2312" w:hAnsi="宋体" w:cs="宋体" w:hint="eastAsia"/>
                <w:b/>
                <w:kern w:val="0"/>
                <w:sz w:val="24"/>
              </w:rPr>
              <w:t>）</w:t>
            </w:r>
            <w:r>
              <w:rPr>
                <w:rFonts w:ascii="仿宋_GB2312" w:eastAsia="仿宋_GB2312" w:hAnsi="宋体" w:cs="宋体" w:hint="eastAsia"/>
                <w:b/>
                <w:bCs/>
                <w:kern w:val="0"/>
                <w:sz w:val="24"/>
              </w:rPr>
              <w:t>基坑工程</w:t>
            </w:r>
          </w:p>
        </w:tc>
      </w:tr>
      <w:tr w:rsidR="008447D8" w:rsidTr="00873B1D">
        <w:trPr>
          <w:trHeight w:val="540"/>
        </w:trPr>
        <w:tc>
          <w:tcPr>
            <w:tcW w:w="7843" w:type="dxa"/>
            <w:gridSpan w:val="5"/>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1.开挖深度超过3m（含3m）的基坑（槽）的土方开挖、支护、降水工程。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2.开挖深度虽未超过3m，但地质条件和（或）周边环境条件复杂的基坑（槽）（符合《建筑基坑支护技术规程》DB11/489基坑侧壁安全等级一、二级判断标准）的土方开挖、支护、降水工程。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kern w:val="0"/>
                <w:sz w:val="24"/>
              </w:rPr>
              <w:t>（二）</w:t>
            </w:r>
            <w:r>
              <w:rPr>
                <w:rFonts w:ascii="仿宋_GB2312" w:eastAsia="仿宋_GB2312" w:hAnsi="宋体" w:cs="宋体" w:hint="eastAsia"/>
                <w:b/>
                <w:bCs/>
                <w:kern w:val="0"/>
                <w:sz w:val="24"/>
              </w:rPr>
              <w:t>模板工程及支撑体系</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1.各类工具式模板工程：包括滑模、爬模、飞模、隧道模等工程。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1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2.混凝土模板支撑工程：搭设高度5m及以上，或搭设跨度10m及以上，或施工总荷载（荷载效应基本组合的设计值，以下简称设计值）10kN/</w:t>
            </w:r>
            <w:r>
              <w:rPr>
                <w:rFonts w:ascii="宋体" w:eastAsia="宋体" w:hAnsi="宋体" w:cs="宋体" w:hint="eastAsia"/>
                <w:kern w:val="0"/>
                <w:sz w:val="24"/>
              </w:rPr>
              <w:t>㎡</w:t>
            </w:r>
            <w:r>
              <w:rPr>
                <w:rFonts w:ascii="仿宋_GB2312" w:eastAsia="仿宋_GB2312" w:hAnsi="仿宋_GB2312" w:cs="仿宋_GB2312" w:hint="eastAsia"/>
                <w:kern w:val="0"/>
                <w:sz w:val="24"/>
              </w:rPr>
              <w:t>及以上，或集中线荷载（设计值）</w:t>
            </w:r>
            <w:r>
              <w:rPr>
                <w:rFonts w:ascii="仿宋_GB2312" w:eastAsia="仿宋_GB2312" w:hAnsi="宋体" w:cs="宋体" w:hint="eastAsia"/>
                <w:kern w:val="0"/>
                <w:sz w:val="24"/>
              </w:rPr>
              <w:t>15kN/m及以上，或高度大于支撑水平投影宽度且相对独立无联系构件的混凝土模板支撑工程。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3.承重支撑体系：用于钢结构安装等满堂支撑体系。</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（三）起重吊装及起重机械安装拆卸工程</w:t>
            </w:r>
          </w:p>
        </w:tc>
      </w:tr>
      <w:tr w:rsidR="008447D8" w:rsidTr="00873B1D">
        <w:trPr>
          <w:trHeight w:val="54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1.采用非常规起重设备、方法，且单件起吊重量在10kN及以上的起重吊装工程。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2.采用起重机械进行安装的工程。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3.起重机械安装和拆卸工程。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4.施工现场2台（或以上）起重机械存在相互干扰的多台多机种作业工程。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5.装配式建筑构件吊装工程。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（四）脚手架工程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1.搭设高度24m及以上的落地式钢管脚手架工程（包括采光井、电梯井脚手架）。</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2.附着式升降脚手架工程或附着式升降操作平台工程。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3.悬挑式脚手架工程。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4.高处作业吊篮工程。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5.卸料平台、操作平台工程。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6.异型脚手架工程。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（五）拆除工程</w:t>
            </w:r>
          </w:p>
        </w:tc>
      </w:tr>
      <w:tr w:rsidR="008447D8" w:rsidTr="00873B1D">
        <w:trPr>
          <w:trHeight w:val="553"/>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lastRenderedPageBreak/>
              <w:t>可能影响行人、交通、电力设施、通讯设施及其他公共设施或其它建、构筑物安全的拆除工程。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（六）暗挖工程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采用矿山法、盾构法、顶管法或箱涵顶进法施工的隧道、洞室工程。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08"/>
        </w:trPr>
        <w:tc>
          <w:tcPr>
            <w:tcW w:w="9751" w:type="dxa"/>
            <w:gridSpan w:val="6"/>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（七）其它</w:t>
            </w:r>
          </w:p>
        </w:tc>
      </w:tr>
      <w:tr w:rsidR="008447D8" w:rsidTr="00873B1D">
        <w:trPr>
          <w:trHeight w:val="9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1.建筑幕墙安装工程。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2.钢结构、网架和</w:t>
            </w:r>
            <w:proofErr w:type="gramStart"/>
            <w:r>
              <w:rPr>
                <w:rFonts w:ascii="仿宋_GB2312" w:eastAsia="仿宋_GB2312" w:hAnsi="宋体" w:cs="宋体" w:hint="eastAsia"/>
                <w:kern w:val="0"/>
                <w:sz w:val="24"/>
              </w:rPr>
              <w:t>索膜</w:t>
            </w:r>
            <w:proofErr w:type="gramEnd"/>
            <w:r>
              <w:rPr>
                <w:rFonts w:ascii="仿宋_GB2312" w:eastAsia="仿宋_GB2312" w:hAnsi="宋体" w:cs="宋体" w:hint="eastAsia"/>
                <w:kern w:val="0"/>
                <w:sz w:val="24"/>
              </w:rPr>
              <w:t>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3.人工挖孔桩工程。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4.水下作业工程。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5.地下隧道注浆帷幕工程。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6.冻结法工程。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42"/>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7.装配式建筑混凝土预制构件安装工程。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84"/>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8.无梁楼盖结构地下室顶板上的土方回填工程。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31"/>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9.厚度大于1.5m的底板钢筋支撑工程。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31"/>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10.含有有限空间作业的分部分项工程。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49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11.采用新技术、新工艺、新材料、新设备可能影响工程施工安全，尚无国家、行业及地方技术标准的分部分项工程。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405"/>
        </w:trPr>
        <w:tc>
          <w:tcPr>
            <w:tcW w:w="7843" w:type="dxa"/>
            <w:gridSpan w:val="5"/>
            <w:tcBorders>
              <w:tl2br w:val="nil"/>
              <w:tr2bl w:val="nil"/>
            </w:tcBorders>
            <w:vAlign w:val="center"/>
          </w:tcPr>
          <w:p w:rsidR="008447D8" w:rsidRDefault="008447D8" w:rsidP="00873B1D">
            <w:pPr>
              <w:widowControl/>
              <w:spacing w:line="30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二、超过一定规模的危险性较大的分部分项工程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如</w:t>
            </w:r>
            <w:proofErr w:type="gramStart"/>
            <w:r>
              <w:rPr>
                <w:rFonts w:ascii="仿宋_GB2312" w:eastAsia="仿宋_GB2312" w:hAnsi="宋体" w:cs="宋体" w:hint="eastAsia"/>
                <w:b/>
                <w:bCs/>
                <w:kern w:val="0"/>
                <w:sz w:val="24"/>
              </w:rPr>
              <w:t>涉及请</w:t>
            </w:r>
            <w:proofErr w:type="gramEnd"/>
            <w:r>
              <w:rPr>
                <w:rFonts w:ascii="仿宋_GB2312" w:eastAsia="仿宋_GB2312" w:hAnsi="宋体" w:cs="宋体" w:hint="eastAsia"/>
                <w:b/>
                <w:bCs/>
                <w:kern w:val="0"/>
                <w:sz w:val="24"/>
              </w:rPr>
              <w:t>在</w:t>
            </w:r>
          </w:p>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b/>
                <w:bCs/>
                <w:kern w:val="0"/>
                <w:sz w:val="24"/>
              </w:rPr>
              <w:t>括号里打√</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（一）深基坑工程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1.开挖深度超过5m（含5m）的基坑（槽）的土方开挖、支护、降水工程。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675"/>
        </w:trPr>
        <w:tc>
          <w:tcPr>
            <w:tcW w:w="7843" w:type="dxa"/>
            <w:gridSpan w:val="5"/>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2.开挖深度虽未超过5m，但地质条件和（或）周边环境条件复杂的基坑（槽）（符合《建筑基坑支护技术规程》DB11/489基坑侧壁安全等级一、二级判断标准）的土方开挖、支护、降水工程。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（二）模板工程及支撑体系</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 xml:space="preserve">1.各类工具式模板工程：包括滑模、爬模、飞模、隧道模等工程。　</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7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2.混凝土模板支撑工程：搭设高度8m及以上，或搭设跨度18m及以上，或施工总荷载（设计值）15kN/</w:t>
            </w:r>
            <w:r>
              <w:rPr>
                <w:rFonts w:ascii="宋体" w:eastAsia="宋体" w:hAnsi="宋体" w:cs="宋体" w:hint="eastAsia"/>
                <w:kern w:val="0"/>
                <w:sz w:val="24"/>
              </w:rPr>
              <w:t>㎡</w:t>
            </w:r>
            <w:r>
              <w:rPr>
                <w:rFonts w:ascii="仿宋_GB2312" w:eastAsia="仿宋_GB2312" w:hAnsi="宋体" w:cs="宋体" w:hint="eastAsia"/>
                <w:kern w:val="0"/>
                <w:sz w:val="24"/>
              </w:rPr>
              <w:t>及以上，或集中线荷载（设计值）20kN/m及以上。</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4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3.承重支撑体系：用于钢结构安装等满堂支撑体系，承受单点集中荷载7kN及以上。</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（三）起重吊装及起重机械安装拆卸工程</w:t>
            </w:r>
          </w:p>
        </w:tc>
      </w:tr>
      <w:tr w:rsidR="008447D8" w:rsidTr="00873B1D">
        <w:trPr>
          <w:trHeight w:val="5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1.采用非常规起重设备、方法，且单件起吊重量在100kN及以上的起重吊装工程。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2.起重量300kN及以上，或</w:t>
            </w:r>
            <w:proofErr w:type="gramStart"/>
            <w:r>
              <w:rPr>
                <w:rFonts w:ascii="仿宋_GB2312" w:eastAsia="仿宋_GB2312" w:hAnsi="仿宋_GB2312" w:cs="仿宋_GB2312" w:hint="eastAsia"/>
                <w:kern w:val="0"/>
                <w:sz w:val="24"/>
                <w:szCs w:val="24"/>
              </w:rPr>
              <w:t>搭设总</w:t>
            </w:r>
            <w:proofErr w:type="gramEnd"/>
            <w:r>
              <w:rPr>
                <w:rFonts w:ascii="仿宋_GB2312" w:eastAsia="仿宋_GB2312" w:hAnsi="仿宋_GB2312" w:cs="仿宋_GB2312" w:hint="eastAsia"/>
                <w:kern w:val="0"/>
                <w:sz w:val="24"/>
                <w:szCs w:val="24"/>
              </w:rPr>
              <w:t>高度200m及以上，或搭设基础标高在200m及以上的起重机械安装和拆卸工程。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3.采用非说明书中基础形式或附墙形式进行安装的施工升降机安装工程。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4.外挂式塔式起重机安装和拆卸工程。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5.使用屋面</w:t>
            </w:r>
            <w:proofErr w:type="gramStart"/>
            <w:r>
              <w:rPr>
                <w:rFonts w:ascii="仿宋_GB2312" w:eastAsia="仿宋_GB2312" w:hAnsi="仿宋_GB2312" w:cs="仿宋_GB2312" w:hint="eastAsia"/>
                <w:sz w:val="24"/>
                <w:szCs w:val="24"/>
              </w:rPr>
              <w:t>吊进行</w:t>
            </w:r>
            <w:proofErr w:type="gramEnd"/>
            <w:r>
              <w:rPr>
                <w:rFonts w:ascii="仿宋_GB2312" w:eastAsia="仿宋_GB2312" w:hAnsi="仿宋_GB2312" w:cs="仿宋_GB2312" w:hint="eastAsia"/>
                <w:sz w:val="24"/>
                <w:szCs w:val="24"/>
              </w:rPr>
              <w:t>拆卸的塔式起重机拆卸工程。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sz w:val="24"/>
                <w:szCs w:val="24"/>
              </w:rPr>
              <w:t>6.架桥机安装和拆卸工程，使用架桥机进行的桥梁安装工程。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96"/>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7.施工现场4台（或以上）塔式起重机起重臂回转半径覆盖范围内有公共交叉区域的群塔作业工程。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（四）脚手架工程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1.搭设高度50m及以上的落地式钢管脚手架工程。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2.附着式升降脚手架工程或附着式升降操作平台工程。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3.分段架体搭设高度20m及以上的悬挑式脚手架工程。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27"/>
        </w:trPr>
        <w:tc>
          <w:tcPr>
            <w:tcW w:w="7843" w:type="dxa"/>
            <w:gridSpan w:val="5"/>
            <w:tcBorders>
              <w:tl2br w:val="nil"/>
              <w:tr2bl w:val="nil"/>
            </w:tcBorders>
            <w:vAlign w:val="center"/>
          </w:tcPr>
          <w:p w:rsidR="008447D8" w:rsidRDefault="008447D8" w:rsidP="00873B1D">
            <w:pPr>
              <w:widowControl/>
              <w:spacing w:before="120" w:after="120" w:line="24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4.用于装饰装修及机电安装施工的吊挂平台操作架及索网式脚手架工程。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2"/>
        </w:trPr>
        <w:tc>
          <w:tcPr>
            <w:tcW w:w="7843" w:type="dxa"/>
            <w:gridSpan w:val="5"/>
            <w:tcBorders>
              <w:tl2br w:val="nil"/>
              <w:tr2bl w:val="nil"/>
            </w:tcBorders>
            <w:vAlign w:val="center"/>
          </w:tcPr>
          <w:p w:rsidR="008447D8" w:rsidRDefault="008447D8" w:rsidP="00873B1D">
            <w:pPr>
              <w:widowControl/>
              <w:spacing w:before="120" w:after="120" w:line="24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5.搭设高度50m及以上的落地运输接料平台架工程。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before="120" w:after="120" w:line="24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6.无法按标准规范要求设置</w:t>
            </w:r>
            <w:proofErr w:type="gramStart"/>
            <w:r>
              <w:rPr>
                <w:rFonts w:ascii="仿宋_GB2312" w:eastAsia="仿宋_GB2312" w:hAnsi="仿宋_GB2312" w:cs="仿宋_GB2312" w:hint="eastAsia"/>
                <w:kern w:val="0"/>
                <w:sz w:val="24"/>
                <w:szCs w:val="24"/>
              </w:rPr>
              <w:t>连墙件或</w:t>
            </w:r>
            <w:proofErr w:type="gramEnd"/>
            <w:r>
              <w:rPr>
                <w:rFonts w:ascii="仿宋_GB2312" w:eastAsia="仿宋_GB2312" w:hAnsi="仿宋_GB2312" w:cs="仿宋_GB2312" w:hint="eastAsia"/>
                <w:kern w:val="0"/>
                <w:sz w:val="24"/>
                <w:szCs w:val="24"/>
              </w:rPr>
              <w:t>立杆无法正常落地等异型脚手架工程。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before="120" w:after="120" w:line="24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7.无法按照产品说明书中参数及安装要求安装的高处作业吊篮工程。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Pr>
                <w:rFonts w:ascii="仿宋_GB2312" w:eastAsia="仿宋_GB2312" w:hAnsi="宋体" w:cs="宋体" w:hint="eastAsia"/>
                <w:b/>
                <w:bCs/>
                <w:kern w:val="0"/>
                <w:sz w:val="24"/>
              </w:rPr>
              <w:t>（五）拆除工程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　　1.码头、桥梁、高架、烟囱、水塔或拆除中容易引起有毒有害气（液）体或粉尘扩散、易燃易爆事故发生的特殊建、构筑物的拆除工程。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60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2.文物保护建筑、优秀历史建筑或历史文化风貌区影响范围内的拆除工程。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5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3.待拆建、构筑物高度在10m及以上或建筑面积在1000</w:t>
            </w:r>
            <w:r>
              <w:rPr>
                <w:rFonts w:ascii="宋体" w:eastAsia="宋体" w:hAnsi="宋体" w:cs="宋体" w:hint="eastAsia"/>
                <w:kern w:val="0"/>
                <w:sz w:val="24"/>
              </w:rPr>
              <w:t>㎡</w:t>
            </w:r>
            <w:r>
              <w:rPr>
                <w:rFonts w:ascii="仿宋_GB2312" w:eastAsia="仿宋_GB2312" w:hAnsi="宋体" w:cs="宋体" w:hint="eastAsia"/>
                <w:kern w:val="0"/>
                <w:sz w:val="24"/>
              </w:rPr>
              <w:t>及以上，可能影响行人、交通、电力设施、通讯设施及其他公共设施或其它建、构筑物安全的拆除工程。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9751" w:type="dxa"/>
            <w:gridSpan w:val="6"/>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（六）暗挖工程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采用矿山法、盾构法、顶管法或顶进箱涵法施工的隧道、洞室工程。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374"/>
        </w:trPr>
        <w:tc>
          <w:tcPr>
            <w:tcW w:w="9751" w:type="dxa"/>
            <w:gridSpan w:val="6"/>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（七）钢结构、网架和</w:t>
            </w:r>
            <w:proofErr w:type="gramStart"/>
            <w:r>
              <w:rPr>
                <w:rFonts w:ascii="仿宋_GB2312" w:eastAsia="仿宋_GB2312" w:hAnsi="宋体" w:cs="宋体" w:hint="eastAsia"/>
                <w:b/>
                <w:bCs/>
                <w:kern w:val="0"/>
                <w:sz w:val="24"/>
              </w:rPr>
              <w:t>索膜</w:t>
            </w:r>
            <w:proofErr w:type="gramEnd"/>
            <w:r>
              <w:rPr>
                <w:rFonts w:ascii="仿宋_GB2312" w:eastAsia="仿宋_GB2312" w:hAnsi="宋体" w:cs="宋体" w:hint="eastAsia"/>
                <w:b/>
                <w:bCs/>
                <w:kern w:val="0"/>
                <w:sz w:val="24"/>
              </w:rPr>
              <w:t>结构安装工程</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1.安装高度100m及以上的钢结构安装工程。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85"/>
        </w:trPr>
        <w:tc>
          <w:tcPr>
            <w:tcW w:w="7843" w:type="dxa"/>
            <w:gridSpan w:val="5"/>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2.跨度36m或悬挑18m及以上的钢结构安装工程，或跨度60m及以上的网架和</w:t>
            </w:r>
            <w:proofErr w:type="gramStart"/>
            <w:r>
              <w:rPr>
                <w:rFonts w:ascii="仿宋_GB2312" w:eastAsia="仿宋_GB2312" w:hAnsi="仿宋_GB2312" w:cs="仿宋_GB2312" w:hint="eastAsia"/>
                <w:kern w:val="0"/>
                <w:sz w:val="24"/>
                <w:szCs w:val="24"/>
              </w:rPr>
              <w:t>索膜</w:t>
            </w:r>
            <w:proofErr w:type="gramEnd"/>
            <w:r>
              <w:rPr>
                <w:rFonts w:ascii="仿宋_GB2312" w:eastAsia="仿宋_GB2312" w:hAnsi="仿宋_GB2312" w:cs="仿宋_GB2312" w:hint="eastAsia"/>
                <w:kern w:val="0"/>
                <w:sz w:val="24"/>
                <w:szCs w:val="24"/>
              </w:rPr>
              <w:t>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3.采用整体提升、顶升、平移（滑移）、转体，或安装净空高度18m及以上高空散装法施工的钢结构安装工程。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4.单个构件或单元采用双机或多机抬吊施工的钢结构安装工程。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tabs>
                <w:tab w:val="left" w:pos="4710"/>
              </w:tabs>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5.采用分段、分条、分块安装，临时承重支架高度超过18m或其受力超过50kN的钢结构工程。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9751" w:type="dxa"/>
            <w:gridSpan w:val="6"/>
            <w:tcBorders>
              <w:tl2br w:val="nil"/>
              <w:tr2bl w:val="nil"/>
            </w:tcBorders>
            <w:vAlign w:val="center"/>
          </w:tcPr>
          <w:p w:rsidR="008447D8" w:rsidRDefault="008447D8" w:rsidP="00873B1D">
            <w:pPr>
              <w:widowControl/>
              <w:spacing w:line="300" w:lineRule="exact"/>
              <w:ind w:firstLineChars="200" w:firstLine="482"/>
              <w:jc w:val="left"/>
              <w:rPr>
                <w:rFonts w:ascii="仿宋_GB2312" w:eastAsia="仿宋_GB2312" w:hAnsi="宋体" w:cs="宋体"/>
                <w:kern w:val="0"/>
                <w:sz w:val="24"/>
              </w:rPr>
            </w:pPr>
            <w:r>
              <w:rPr>
                <w:rFonts w:ascii="仿宋_GB2312" w:eastAsia="仿宋_GB2312" w:hAnsi="宋体" w:cs="宋体" w:hint="eastAsia"/>
                <w:b/>
                <w:bCs/>
                <w:kern w:val="0"/>
                <w:sz w:val="24"/>
              </w:rPr>
              <w:t>（八）其它</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1.施工高度50m及以上的建筑幕墙安装工程。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2.开挖深度5m及以上的人工挖孔桩工程。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3.水下作业工程。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4.地下隧道注浆帷幕工程。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90"/>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5.冻结法工程。</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6.重量1000kN及以上的大型结构整体顶升、平移、转体等施工工艺。</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r w:rsidR="008447D8" w:rsidTr="00873B1D">
        <w:trPr>
          <w:trHeight w:val="279"/>
        </w:trPr>
        <w:tc>
          <w:tcPr>
            <w:tcW w:w="7843" w:type="dxa"/>
            <w:gridSpan w:val="5"/>
            <w:tcBorders>
              <w:tl2br w:val="nil"/>
              <w:tr2bl w:val="nil"/>
            </w:tcBorders>
            <w:vAlign w:val="center"/>
          </w:tcPr>
          <w:p w:rsidR="008447D8" w:rsidRDefault="008447D8" w:rsidP="00873B1D">
            <w:pPr>
              <w:widowControl/>
              <w:spacing w:line="300" w:lineRule="exact"/>
              <w:ind w:firstLineChars="200" w:firstLine="480"/>
              <w:jc w:val="left"/>
              <w:rPr>
                <w:rFonts w:ascii="仿宋_GB2312" w:eastAsia="仿宋_GB2312" w:hAnsi="宋体" w:cs="宋体"/>
                <w:kern w:val="0"/>
                <w:sz w:val="24"/>
                <w:szCs w:val="24"/>
              </w:rPr>
            </w:pPr>
            <w:r>
              <w:rPr>
                <w:rFonts w:ascii="仿宋_GB2312" w:eastAsia="仿宋_GB2312" w:hAnsi="仿宋_GB2312" w:cs="仿宋_GB2312" w:hint="eastAsia"/>
                <w:kern w:val="0"/>
                <w:sz w:val="24"/>
                <w:szCs w:val="24"/>
              </w:rPr>
              <w:t>7.采用新技术、新工艺、新材料、新设备可能影响工程施工安全，尚无国家、行业及地方技术标准的分部分项工程。</w:t>
            </w:r>
            <w:r>
              <w:rPr>
                <w:rFonts w:ascii="宋体" w:eastAsia="宋体" w:hAnsi="宋体" w:cs="宋体" w:hint="eastAsia"/>
                <w:kern w:val="0"/>
                <w:sz w:val="24"/>
                <w:szCs w:val="24"/>
              </w:rPr>
              <w:t> </w:t>
            </w:r>
          </w:p>
        </w:tc>
        <w:tc>
          <w:tcPr>
            <w:tcW w:w="1908" w:type="dxa"/>
            <w:tcBorders>
              <w:tl2br w:val="nil"/>
              <w:tr2bl w:val="nil"/>
            </w:tcBorders>
            <w:vAlign w:val="center"/>
          </w:tcPr>
          <w:p w:rsidR="008447D8" w:rsidRDefault="008447D8" w:rsidP="00873B1D">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   ）</w:t>
            </w:r>
          </w:p>
        </w:tc>
      </w:tr>
    </w:tbl>
    <w:p w:rsidR="00894B54" w:rsidRPr="008447D8" w:rsidRDefault="000B7A89" w:rsidP="004F5721">
      <w:pPr>
        <w:spacing w:line="560" w:lineRule="exact"/>
      </w:pPr>
      <w:bookmarkStart w:id="0" w:name="_GoBack"/>
      <w:bookmarkEnd w:id="0"/>
    </w:p>
    <w:sectPr w:rsidR="00894B54" w:rsidRPr="008447D8" w:rsidSect="004F5721">
      <w:footerReference w:type="even" r:id="rId8"/>
      <w:footerReference w:type="default" r:id="rId9"/>
      <w:pgSz w:w="11906" w:h="16838"/>
      <w:pgMar w:top="1440" w:right="1800" w:bottom="1440" w:left="180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89" w:rsidRDefault="000B7A89" w:rsidP="00EC311D">
      <w:r>
        <w:separator/>
      </w:r>
    </w:p>
  </w:endnote>
  <w:endnote w:type="continuationSeparator" w:id="0">
    <w:p w:rsidR="000B7A89" w:rsidRDefault="000B7A89" w:rsidP="00EC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3360" behindDoc="0" locked="0" layoutInCell="1" allowOverlap="1" wp14:anchorId="6287FA3D" wp14:editId="1597D0D4">
              <wp:simplePos x="0" y="0"/>
              <wp:positionH relativeFrom="margin">
                <wp:align>outside</wp:align>
              </wp:positionH>
              <wp:positionV relativeFrom="paragraph">
                <wp:posOffset>0</wp:posOffset>
              </wp:positionV>
              <wp:extent cx="1828800" cy="1828800"/>
              <wp:effectExtent l="0" t="0" r="5715" b="1079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92.8pt;margin-top:0;width:2in;height:2in;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HGP/wooAgAANQQAAA4AAAAAAAAAAAAAAAAALgIAAGRycy9lMm9Eb2Mu&#10;eG1sUEsBAi0AFAAGAAgAAAAhAHXUuTzaAAAABQEAAA8AAAAAAAAAAAAAAAAAggQAAGRycy9kb3du&#10;cmV2LnhtbFBLBQYAAAAABAAEAPMAAACJBQ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B2197">
                      <w:rPr>
                        <w:rFonts w:ascii="仿宋_GB2312" w:eastAsia="仿宋_GB2312" w:hAnsi="仿宋_GB2312" w:cs="仿宋_GB2312"/>
                        <w:sz w:val="28"/>
                        <w:szCs w:val="28"/>
                      </w:rPr>
                      <w:t>- 6 -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45" w:rsidRDefault="006251D8">
    <w:pPr>
      <w:pStyle w:val="a5"/>
    </w:pPr>
    <w:r>
      <w:rPr>
        <w:noProof/>
      </w:rPr>
      <mc:AlternateContent>
        <mc:Choice Requires="wps">
          <w:drawing>
            <wp:anchor distT="0" distB="0" distL="114300" distR="114300" simplePos="0" relativeHeight="251661312" behindDoc="0" locked="0" layoutInCell="1" allowOverlap="1" wp14:anchorId="7C33003F" wp14:editId="4B9D69AC">
              <wp:simplePos x="0" y="0"/>
              <wp:positionH relativeFrom="margin">
                <wp:align>outside</wp:align>
              </wp:positionH>
              <wp:positionV relativeFrom="paragraph">
                <wp:posOffset>11430</wp:posOffset>
              </wp:positionV>
              <wp:extent cx="178435" cy="230505"/>
              <wp:effectExtent l="0" t="0" r="5715" b="1079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30505"/>
                      </a:xfrm>
                      <a:prstGeom prst="rect">
                        <a:avLst/>
                      </a:prstGeom>
                      <a:noFill/>
                      <a:ln w="6350">
                        <a:noFill/>
                      </a:ln>
                      <a:effectLst/>
                    </wps:spPr>
                    <wps:txbx>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F5721">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7.15pt;margin-top:.9pt;width:14.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" filled="f" stroked="f" strokeweight=".5pt">
              <v:path arrowok="t"/>
              <v:textbox style="mso-fit-shape-to-text:t" inset="0,0,0,0">
                <w:txbxContent>
                  <w:p w:rsidR="00453D45" w:rsidRDefault="005834C5">
                    <w:pPr>
                      <w:pStyle w:val="a5"/>
                    </w:pPr>
                    <w:r>
                      <w:rPr>
                        <w:rFonts w:ascii="仿宋_GB2312" w:eastAsia="仿宋_GB2312" w:hAnsi="仿宋_GB2312" w:cs="仿宋_GB2312" w:hint="eastAsia"/>
                        <w:sz w:val="28"/>
                        <w:szCs w:val="28"/>
                      </w:rPr>
                      <w:fldChar w:fldCharType="begin"/>
                    </w:r>
                    <w:r w:rsidR="006B219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F5721">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89" w:rsidRDefault="000B7A89" w:rsidP="00EC311D">
      <w:r>
        <w:separator/>
      </w:r>
    </w:p>
  </w:footnote>
  <w:footnote w:type="continuationSeparator" w:id="0">
    <w:p w:rsidR="000B7A89" w:rsidRDefault="000B7A89" w:rsidP="00EC3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start w:val="2"/>
      <w:numFmt w:val="chineseCounting"/>
      <w:suff w:val="nothing"/>
      <w:lvlText w:val="%1、"/>
      <w:lvlJc w:val="left"/>
      <w:rPr>
        <w:rFonts w:hint="eastAsia"/>
      </w:rPr>
    </w:lvl>
  </w:abstractNum>
  <w:abstractNum w:abstractNumId="1">
    <w:nsid w:val="F894655E"/>
    <w:multiLevelType w:val="singleLevel"/>
    <w:tmpl w:val="F894655E"/>
    <w:lvl w:ilvl="0">
      <w:start w:val="3"/>
      <w:numFmt w:val="chineseCounting"/>
      <w:suff w:val="nothing"/>
      <w:lvlText w:val="第%1章　"/>
      <w:lvlJc w:val="left"/>
      <w:rPr>
        <w:rFonts w:hint="eastAsia"/>
      </w:rPr>
    </w:lvl>
  </w:abstractNum>
  <w:abstractNum w:abstractNumId="2">
    <w:nsid w:val="190DD518"/>
    <w:multiLevelType w:val="singleLevel"/>
    <w:tmpl w:val="190DD518"/>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D8"/>
    <w:rsid w:val="000011C7"/>
    <w:rsid w:val="000417CE"/>
    <w:rsid w:val="00053D00"/>
    <w:rsid w:val="000B7A89"/>
    <w:rsid w:val="003B0E44"/>
    <w:rsid w:val="003F7B96"/>
    <w:rsid w:val="004F5721"/>
    <w:rsid w:val="005834C5"/>
    <w:rsid w:val="006251D8"/>
    <w:rsid w:val="006B2197"/>
    <w:rsid w:val="0072428B"/>
    <w:rsid w:val="007B78D8"/>
    <w:rsid w:val="008447D8"/>
    <w:rsid w:val="00B43045"/>
    <w:rsid w:val="00D15B1E"/>
    <w:rsid w:val="00E10FF0"/>
    <w:rsid w:val="00EA18FF"/>
    <w:rsid w:val="00EC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Code" w:uiPriority="0" w:qFormat="1"/>
    <w:lsdException w:name="HTML Sample"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44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47D8"/>
    <w:rPr>
      <w:rFonts w:ascii="宋体" w:eastAsia="宋体" w:hAnsi="宋体" w:cs="宋体"/>
      <w:b/>
      <w:bCs/>
      <w:kern w:val="36"/>
      <w:sz w:val="48"/>
      <w:szCs w:val="48"/>
    </w:rPr>
  </w:style>
  <w:style w:type="character" w:customStyle="1" w:styleId="apple-converted-space">
    <w:name w:val="apple-converted-space"/>
    <w:basedOn w:val="a0"/>
    <w:rsid w:val="008447D8"/>
  </w:style>
  <w:style w:type="paragraph" w:styleId="a3">
    <w:name w:val="Normal (Web)"/>
    <w:basedOn w:val="a"/>
    <w:uiPriority w:val="99"/>
    <w:unhideWhenUsed/>
    <w:qFormat/>
    <w:rsid w:val="008447D8"/>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uiPriority w:val="99"/>
    <w:semiHidden/>
    <w:unhideWhenUsed/>
    <w:qFormat/>
    <w:rsid w:val="008447D8"/>
    <w:pPr>
      <w:jc w:val="left"/>
    </w:pPr>
  </w:style>
  <w:style w:type="character" w:customStyle="1" w:styleId="Char">
    <w:name w:val="批注文字 Char"/>
    <w:basedOn w:val="a0"/>
    <w:link w:val="a4"/>
    <w:uiPriority w:val="99"/>
    <w:semiHidden/>
    <w:rsid w:val="008447D8"/>
  </w:style>
  <w:style w:type="paragraph" w:styleId="a5">
    <w:name w:val="footer"/>
    <w:basedOn w:val="a"/>
    <w:link w:val="Char0"/>
    <w:uiPriority w:val="99"/>
    <w:qFormat/>
    <w:rsid w:val="008447D8"/>
    <w:pPr>
      <w:tabs>
        <w:tab w:val="center" w:pos="4153"/>
        <w:tab w:val="right" w:pos="8306"/>
      </w:tabs>
      <w:snapToGrid w:val="0"/>
      <w:jc w:val="left"/>
    </w:pPr>
    <w:rPr>
      <w:sz w:val="18"/>
      <w:szCs w:val="18"/>
    </w:rPr>
  </w:style>
  <w:style w:type="character" w:customStyle="1" w:styleId="Char0">
    <w:name w:val="页脚 Char"/>
    <w:basedOn w:val="a0"/>
    <w:link w:val="a5"/>
    <w:uiPriority w:val="99"/>
    <w:rsid w:val="008447D8"/>
    <w:rPr>
      <w:sz w:val="18"/>
      <w:szCs w:val="18"/>
    </w:rPr>
  </w:style>
  <w:style w:type="paragraph" w:styleId="a6">
    <w:name w:val="header"/>
    <w:basedOn w:val="a"/>
    <w:link w:val="Char1"/>
    <w:qFormat/>
    <w:rsid w:val="00844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rsid w:val="008447D8"/>
    <w:rPr>
      <w:sz w:val="18"/>
    </w:rPr>
  </w:style>
  <w:style w:type="character" w:styleId="a7">
    <w:name w:val="FollowedHyperlink"/>
    <w:basedOn w:val="a0"/>
    <w:qFormat/>
    <w:rsid w:val="008447D8"/>
    <w:rPr>
      <w:color w:val="3D3D3D"/>
      <w:u w:val="none"/>
    </w:rPr>
  </w:style>
  <w:style w:type="character" w:styleId="a8">
    <w:name w:val="Hyperlink"/>
    <w:basedOn w:val="a0"/>
    <w:qFormat/>
    <w:rsid w:val="008447D8"/>
    <w:rPr>
      <w:color w:val="0000FF"/>
      <w:u w:val="single"/>
    </w:rPr>
  </w:style>
  <w:style w:type="character" w:styleId="HTML">
    <w:name w:val="HTML Code"/>
    <w:basedOn w:val="a0"/>
    <w:qFormat/>
    <w:rsid w:val="008447D8"/>
    <w:rPr>
      <w:rFonts w:ascii="Courier New" w:hAnsi="Courier New"/>
      <w:sz w:val="20"/>
    </w:rPr>
  </w:style>
  <w:style w:type="character" w:styleId="a9">
    <w:name w:val="annotation reference"/>
    <w:basedOn w:val="a0"/>
    <w:uiPriority w:val="99"/>
    <w:semiHidden/>
    <w:unhideWhenUsed/>
    <w:qFormat/>
    <w:rsid w:val="008447D8"/>
    <w:rPr>
      <w:sz w:val="21"/>
      <w:szCs w:val="21"/>
    </w:rPr>
  </w:style>
  <w:style w:type="character" w:styleId="HTML0">
    <w:name w:val="HTML Sample"/>
    <w:basedOn w:val="a0"/>
    <w:qFormat/>
    <w:rsid w:val="008447D8"/>
    <w:rPr>
      <w:rFonts w:ascii="Courier New" w:hAnsi="Courier New"/>
    </w:rPr>
  </w:style>
  <w:style w:type="paragraph" w:styleId="aa">
    <w:name w:val="List Paragraph"/>
    <w:basedOn w:val="a"/>
    <w:uiPriority w:val="34"/>
    <w:qFormat/>
    <w:rsid w:val="008447D8"/>
    <w:pPr>
      <w:ind w:firstLineChars="200" w:firstLine="420"/>
    </w:pPr>
    <w:rPr>
      <w:rFonts w:ascii="Times New Roman" w:eastAsia="宋体" w:hAnsi="Times New Roman" w:cs="Times New Roman"/>
      <w:szCs w:val="24"/>
    </w:rPr>
  </w:style>
  <w:style w:type="character" w:customStyle="1" w:styleId="font81">
    <w:name w:val="font81"/>
    <w:basedOn w:val="a0"/>
    <w:qFormat/>
    <w:rsid w:val="008447D8"/>
    <w:rPr>
      <w:rFonts w:ascii="仿宋_GB2312" w:eastAsia="仿宋_GB2312" w:cs="仿宋_GB2312" w:hint="eastAsia"/>
      <w:color w:val="000000"/>
      <w:sz w:val="32"/>
      <w:szCs w:val="32"/>
      <w:u w:val="none"/>
    </w:rPr>
  </w:style>
  <w:style w:type="character" w:customStyle="1" w:styleId="font31">
    <w:name w:val="font31"/>
    <w:basedOn w:val="a0"/>
    <w:qFormat/>
    <w:rsid w:val="008447D8"/>
    <w:rPr>
      <w:rFonts w:ascii="方正小标宋简体" w:eastAsia="方正小标宋简体" w:hAnsi="方正小标宋简体" w:cs="方正小标宋简体"/>
      <w:color w:val="000000"/>
      <w:sz w:val="36"/>
      <w:szCs w:val="36"/>
      <w:u w:val="none"/>
    </w:rPr>
  </w:style>
  <w:style w:type="character" w:customStyle="1" w:styleId="font11">
    <w:name w:val="font11"/>
    <w:basedOn w:val="a0"/>
    <w:rsid w:val="008447D8"/>
    <w:rPr>
      <w:rFonts w:ascii="宋体" w:eastAsia="宋体" w:hAnsi="宋体" w:cs="宋体" w:hint="eastAsia"/>
      <w:color w:val="000000"/>
      <w:sz w:val="18"/>
      <w:szCs w:val="18"/>
      <w:u w:val="none"/>
    </w:rPr>
  </w:style>
  <w:style w:type="character" w:customStyle="1" w:styleId="font61">
    <w:name w:val="font61"/>
    <w:basedOn w:val="a0"/>
    <w:qFormat/>
    <w:rsid w:val="008447D8"/>
    <w:rPr>
      <w:rFonts w:ascii="宋体" w:eastAsia="宋体" w:hAnsi="宋体" w:cs="宋体" w:hint="eastAsia"/>
      <w:b/>
      <w:color w:val="000000"/>
      <w:sz w:val="18"/>
      <w:szCs w:val="18"/>
      <w:u w:val="none"/>
    </w:rPr>
  </w:style>
  <w:style w:type="character" w:customStyle="1" w:styleId="font41">
    <w:name w:val="font41"/>
    <w:basedOn w:val="a0"/>
    <w:qFormat/>
    <w:rsid w:val="008447D8"/>
    <w:rPr>
      <w:rFonts w:ascii="Calibri" w:hAnsi="Calibri" w:cs="Calibri"/>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0197">
      <w:bodyDiv w:val="1"/>
      <w:marLeft w:val="0"/>
      <w:marRight w:val="0"/>
      <w:marTop w:val="0"/>
      <w:marBottom w:val="0"/>
      <w:divBdr>
        <w:top w:val="none" w:sz="0" w:space="0" w:color="auto"/>
        <w:left w:val="none" w:sz="0" w:space="0" w:color="auto"/>
        <w:bottom w:val="none" w:sz="0" w:space="0" w:color="auto"/>
        <w:right w:val="none" w:sz="0" w:space="0" w:color="auto"/>
      </w:divBdr>
      <w:divsChild>
        <w:div w:id="1267422520">
          <w:marLeft w:val="0"/>
          <w:marRight w:val="0"/>
          <w:marTop w:val="300"/>
          <w:marBottom w:val="0"/>
          <w:divBdr>
            <w:top w:val="none" w:sz="0" w:space="0" w:color="auto"/>
            <w:left w:val="none" w:sz="0" w:space="0" w:color="auto"/>
            <w:bottom w:val="none" w:sz="0" w:space="0" w:color="auto"/>
            <w:right w:val="none" w:sz="0" w:space="0" w:color="auto"/>
          </w:divBdr>
          <w:divsChild>
            <w:div w:id="1868986148">
              <w:marLeft w:val="0"/>
              <w:marRight w:val="0"/>
              <w:marTop w:val="0"/>
              <w:marBottom w:val="0"/>
              <w:divBdr>
                <w:top w:val="none" w:sz="0" w:space="0" w:color="auto"/>
                <w:left w:val="none" w:sz="0" w:space="0" w:color="auto"/>
                <w:bottom w:val="none" w:sz="0" w:space="0" w:color="auto"/>
                <w:right w:val="none" w:sz="0" w:space="0" w:color="auto"/>
              </w:divBdr>
              <w:divsChild>
                <w:div w:id="1195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王冬</dc:creator>
  <cp:lastModifiedBy>yangr</cp:lastModifiedBy>
  <cp:revision>3</cp:revision>
  <cp:lastPrinted>2019-04-26T06:37:00Z</cp:lastPrinted>
  <dcterms:created xsi:type="dcterms:W3CDTF">2019-04-29T07:27:00Z</dcterms:created>
  <dcterms:modified xsi:type="dcterms:W3CDTF">2019-04-29T07:33:00Z</dcterms:modified>
</cp:coreProperties>
</file>