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eastAsia="黑体"/>
          <w:sz w:val="32"/>
          <w:szCs w:val="32"/>
        </w:rPr>
      </w:pPr>
      <w:r>
        <w:rPr>
          <w:rFonts w:hint="eastAsia" w:hAnsi="黑体" w:eastAsia="黑体"/>
          <w:sz w:val="32"/>
          <w:szCs w:val="32"/>
        </w:rPr>
        <w:t>附件</w:t>
      </w:r>
      <w:r>
        <w:rPr>
          <w:rFonts w:eastAsia="黑体"/>
          <w:sz w:val="32"/>
          <w:szCs w:val="32"/>
        </w:rPr>
        <w:t>2</w:t>
      </w:r>
    </w:p>
    <w:p>
      <w:pPr>
        <w:spacing w:line="560" w:lineRule="exact"/>
        <w:jc w:val="center"/>
        <w:rPr>
          <w:rFonts w:hint="eastAsia" w:eastAsia="方正小标宋简体"/>
          <w:sz w:val="44"/>
          <w:szCs w:val="44"/>
          <w:lang w:eastAsia="zh-CN"/>
        </w:rPr>
      </w:pPr>
      <w:r>
        <w:rPr>
          <w:rFonts w:hint="eastAsia" w:eastAsia="方正小标宋简体"/>
          <w:sz w:val="44"/>
          <w:szCs w:val="44"/>
          <w:lang w:eastAsia="zh-CN"/>
        </w:rPr>
        <w:t>大兴区关于生态环境不强化监督督办问题查处情况</w:t>
      </w:r>
    </w:p>
    <w:p>
      <w:pPr>
        <w:spacing w:line="560" w:lineRule="exact"/>
        <w:jc w:val="center"/>
        <w:rPr>
          <w:rFonts w:eastAsia="楷体"/>
          <w:sz w:val="32"/>
          <w:szCs w:val="32"/>
        </w:rPr>
      </w:pPr>
      <w:r>
        <w:rPr>
          <w:rFonts w:hint="eastAsia" w:eastAsia="方正小标宋简体"/>
          <w:sz w:val="44"/>
          <w:szCs w:val="44"/>
        </w:rPr>
        <w:t>（</w:t>
      </w:r>
      <w:r>
        <w:rPr>
          <w:rFonts w:eastAsia="方正小标宋简体"/>
          <w:sz w:val="44"/>
          <w:szCs w:val="44"/>
        </w:rPr>
        <w:t>2019</w:t>
      </w:r>
      <w:r>
        <w:rPr>
          <w:rFonts w:hint="eastAsia" w:eastAsia="方正小标宋简体"/>
          <w:sz w:val="44"/>
          <w:szCs w:val="44"/>
        </w:rPr>
        <w:t>年</w:t>
      </w:r>
      <w:r>
        <w:rPr>
          <w:rFonts w:eastAsia="方正小标宋简体"/>
          <w:sz w:val="44"/>
          <w:szCs w:val="44"/>
        </w:rPr>
        <w:t>3</w:t>
      </w:r>
      <w:r>
        <w:rPr>
          <w:rFonts w:hint="eastAsia" w:eastAsia="方正小标宋简体"/>
          <w:sz w:val="44"/>
          <w:szCs w:val="44"/>
        </w:rPr>
        <w:t>月</w:t>
      </w:r>
      <w:r>
        <w:rPr>
          <w:rFonts w:eastAsia="方正小标宋简体"/>
          <w:sz w:val="44"/>
          <w:szCs w:val="44"/>
        </w:rPr>
        <w:t>4</w:t>
      </w:r>
      <w:r>
        <w:rPr>
          <w:rFonts w:hint="eastAsia" w:eastAsia="方正小标宋简体"/>
          <w:sz w:val="44"/>
          <w:szCs w:val="44"/>
        </w:rPr>
        <w:t>日至</w:t>
      </w:r>
      <w:r>
        <w:rPr>
          <w:rFonts w:eastAsia="方正小标宋简体"/>
          <w:sz w:val="44"/>
          <w:szCs w:val="44"/>
        </w:rPr>
        <w:t>3</w:t>
      </w:r>
      <w:r>
        <w:rPr>
          <w:rFonts w:hint="eastAsia" w:eastAsia="方正小标宋简体"/>
          <w:sz w:val="44"/>
          <w:szCs w:val="44"/>
        </w:rPr>
        <w:t>月</w:t>
      </w:r>
      <w:r>
        <w:rPr>
          <w:rFonts w:eastAsia="方正小标宋简体"/>
          <w:sz w:val="44"/>
          <w:szCs w:val="44"/>
        </w:rPr>
        <w:t>17</w:t>
      </w:r>
      <w:r>
        <w:rPr>
          <w:rFonts w:hint="eastAsia" w:eastAsia="方正小标宋简体"/>
          <w:sz w:val="44"/>
          <w:szCs w:val="44"/>
        </w:rPr>
        <w:t>日）</w:t>
      </w:r>
    </w:p>
    <w:tbl>
      <w:tblPr>
        <w:tblStyle w:val="3"/>
        <w:tblW w:w="14550" w:type="dxa"/>
        <w:jc w:val="center"/>
        <w:tblInd w:w="-25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592"/>
        <w:gridCol w:w="555"/>
        <w:gridCol w:w="405"/>
        <w:gridCol w:w="435"/>
        <w:gridCol w:w="600"/>
        <w:gridCol w:w="690"/>
        <w:gridCol w:w="810"/>
        <w:gridCol w:w="660"/>
        <w:gridCol w:w="2191"/>
        <w:gridCol w:w="1065"/>
        <w:gridCol w:w="600"/>
        <w:gridCol w:w="3239"/>
        <w:gridCol w:w="2280"/>
        <w:gridCol w:w="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592"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lang w:eastAsia="zh-CN"/>
              </w:rPr>
            </w:pPr>
            <w:r>
              <w:rPr>
                <w:rFonts w:hint="eastAsia" w:hAnsi="黑体" w:eastAsia="黑体"/>
                <w:color w:val="000000"/>
                <w:kern w:val="0"/>
                <w:szCs w:val="21"/>
              </w:rPr>
              <w:t>编号</w:t>
            </w:r>
          </w:p>
        </w:tc>
        <w:tc>
          <w:tcPr>
            <w:tcW w:w="5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lang w:eastAsia="zh-CN"/>
              </w:rPr>
            </w:pPr>
            <w:r>
              <w:rPr>
                <w:rFonts w:hint="eastAsia" w:hAnsi="黑体" w:eastAsia="黑体"/>
                <w:color w:val="000000"/>
                <w:kern w:val="0"/>
                <w:szCs w:val="21"/>
              </w:rPr>
              <w:t>检查时间</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市</w:t>
            </w:r>
          </w:p>
        </w:tc>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区</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乡镇</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污染源</w:t>
            </w:r>
          </w:p>
          <w:p>
            <w:pPr>
              <w:widowControl/>
              <w:jc w:val="center"/>
              <w:textAlignment w:val="center"/>
              <w:rPr>
                <w:rFonts w:hint="eastAsia" w:ascii="宋体" w:hAnsi="宋体" w:eastAsia="宋体" w:cs="宋体"/>
                <w:sz w:val="24"/>
                <w:szCs w:val="22"/>
              </w:rPr>
            </w:pPr>
            <w:r>
              <w:rPr>
                <w:rFonts w:hint="eastAsia" w:hAnsi="黑体" w:eastAsia="黑体"/>
                <w:color w:val="000000"/>
                <w:kern w:val="0"/>
                <w:szCs w:val="21"/>
              </w:rPr>
              <w:t>名称</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污染源</w:t>
            </w:r>
          </w:p>
          <w:p>
            <w:pPr>
              <w:widowControl/>
              <w:jc w:val="center"/>
              <w:textAlignment w:val="center"/>
              <w:rPr>
                <w:rFonts w:hint="eastAsia" w:ascii="宋体" w:hAnsi="宋体" w:eastAsia="宋体" w:cs="宋体"/>
                <w:szCs w:val="21"/>
              </w:rPr>
            </w:pPr>
            <w:r>
              <w:rPr>
                <w:rFonts w:hint="eastAsia" w:hAnsi="黑体" w:eastAsia="黑体"/>
                <w:color w:val="000000"/>
                <w:kern w:val="0"/>
                <w:szCs w:val="21"/>
              </w:rPr>
              <w:t>地址</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问题类型</w:t>
            </w: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现场问题情况详述</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整改要求</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整改时限</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整改（进展）情况</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r>
              <w:rPr>
                <w:rFonts w:hint="eastAsia" w:hAnsi="黑体" w:eastAsia="黑体"/>
                <w:color w:val="000000"/>
                <w:kern w:val="0"/>
                <w:szCs w:val="21"/>
              </w:rPr>
              <w:t>查处情况</w:t>
            </w:r>
          </w:p>
        </w:tc>
        <w:tc>
          <w:tcPr>
            <w:tcW w:w="428"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rFonts w:hint="eastAsia" w:ascii="宋体" w:hAnsi="宋体" w:eastAsia="宋体" w:cs="宋体"/>
                <w:szCs w:val="21"/>
                <w:lang w:val="en-US" w:eastAsia="zh-CN"/>
              </w:rPr>
            </w:pPr>
            <w:r>
              <w:rPr>
                <w:rFonts w:hint="eastAsia" w:hAnsi="黑体" w:eastAsia="黑体"/>
                <w:color w:val="000000"/>
                <w:kern w:val="0"/>
                <w:szCs w:val="21"/>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592"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BJ-19-030</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2019/3/4</w:t>
            </w:r>
          </w:p>
        </w:tc>
        <w:tc>
          <w:tcPr>
            <w:tcW w:w="4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北京市</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大兴区</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4"/>
                <w:szCs w:val="22"/>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color w:val="000000"/>
                <w:szCs w:val="21"/>
              </w:rPr>
            </w:pPr>
            <w:r>
              <w:rPr>
                <w:rFonts w:hint="eastAsia" w:ascii="宋体" w:hAnsi="宋体" w:eastAsia="宋体" w:cs="宋体"/>
                <w:szCs w:val="21"/>
              </w:rPr>
              <w:t>北京大兴国际机场建设项目</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建筑工地未落实“六个百分百”要求</w:t>
            </w: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检查人员从机场工地四号门检查岗进入施工现场，沿途查看道路及施工现场，主要问题有：1.施工场地整体防尘网覆盖率较低；2.道路上仍有渣土堆未进行覆盖，车辆经过时扬尘污染严重，虽能看到洒水车作业，但有部分道路未见湿润痕迹；3.有的渣土堆四周覆盖，但顶部裸露；4.喷雾降尘设施闲置；5.根据随行的廊坊市机场建设办人员介绍，进入安全检查岗后的区域均划属北京大兴区管辖。</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进一步调查核实，依据《大气污染防治法》第一百一十五条处罚，严格落实“六个百分之百”要求，加强工地扬尘控制。</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2019/4/20</w:t>
            </w:r>
          </w:p>
        </w:tc>
        <w:tc>
          <w:tcPr>
            <w:tcW w:w="32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新机场城管执法队与区住建委开展联合执法行动，排查施工现场扬尘治理方面存在的问题，</w:t>
            </w:r>
            <w:r>
              <w:rPr>
                <w:rFonts w:hint="eastAsia" w:ascii="宋体" w:hAnsi="宋体" w:eastAsia="宋体" w:cs="宋体"/>
                <w:szCs w:val="21"/>
                <w:lang w:eastAsia="zh-CN"/>
              </w:rPr>
              <w:t>敦促新机场施工工地</w:t>
            </w:r>
            <w:r>
              <w:rPr>
                <w:rFonts w:hint="eastAsia" w:ascii="宋体" w:hAnsi="宋体" w:eastAsia="宋体" w:cs="宋体"/>
                <w:szCs w:val="21"/>
              </w:rPr>
              <w:t>严格落实施工现场六个百分百要求，做好施工现场扬尘治理工作；约谈机场建设指挥部相关负责人，项目施工单位、监理单位公司级领导及项目相关负责人，落实各自扬尘治理工作责任；对问题项目涉及的参建单位进行通报批评。</w:t>
            </w:r>
            <w:r>
              <w:rPr>
                <w:rFonts w:hint="eastAsia" w:ascii="宋体" w:hAnsi="宋体" w:eastAsia="宋体" w:cs="宋体"/>
                <w:szCs w:val="21"/>
                <w:lang w:eastAsia="zh-CN"/>
              </w:rPr>
              <w:t>该问题预计</w:t>
            </w:r>
            <w:r>
              <w:rPr>
                <w:rFonts w:hint="eastAsia" w:ascii="宋体" w:hAnsi="宋体" w:eastAsia="宋体" w:cs="宋体"/>
                <w:szCs w:val="21"/>
                <w:lang w:val="en-US" w:eastAsia="zh-CN"/>
              </w:rPr>
              <w:t>6月底前整改完毕。</w:t>
            </w:r>
          </w:p>
        </w:tc>
        <w:tc>
          <w:tcPr>
            <w:tcW w:w="22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新机场城管执法队对新机场工作区房建1标段扬尘问题罚款2万元（京大城管罚字[2019]220004号）、市政2标段扬尘问题进行立案调查（立案编号20190308103915623）、中航油2号地面加油站项目扬尘问题进行立案调查（立案编号20190308104029926），同时根据检查情况对其他存在违规行为的施工现场、土方运输车辆继续进行执法检查。</w:t>
            </w:r>
          </w:p>
        </w:tc>
        <w:tc>
          <w:tcPr>
            <w:tcW w:w="428"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592"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BJ-19-03</w:t>
            </w:r>
            <w:r>
              <w:rPr>
                <w:rFonts w:hint="eastAsia" w:ascii="宋体" w:hAnsi="宋体" w:eastAsia="宋体" w:cs="宋体"/>
                <w:szCs w:val="21"/>
                <w:lang w:val="en-US" w:eastAsia="zh-CN"/>
              </w:rPr>
              <w:t>1</w:t>
            </w:r>
          </w:p>
        </w:tc>
        <w:tc>
          <w:tcPr>
            <w:tcW w:w="555"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2019/3/8</w:t>
            </w:r>
          </w:p>
        </w:tc>
        <w:tc>
          <w:tcPr>
            <w:tcW w:w="405"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textAlignment w:val="bottom"/>
              <w:rPr>
                <w:rFonts w:hint="eastAsia" w:ascii="宋体" w:hAnsi="宋体" w:eastAsia="宋体" w:cs="宋体"/>
                <w:sz w:val="24"/>
                <w:szCs w:val="22"/>
              </w:rPr>
            </w:pPr>
            <w:r>
              <w:rPr>
                <w:rFonts w:hint="eastAsia" w:ascii="宋体" w:hAnsi="宋体" w:eastAsia="宋体" w:cs="宋体"/>
                <w:szCs w:val="21"/>
              </w:rPr>
              <w:t>北京市</w:t>
            </w:r>
          </w:p>
        </w:tc>
        <w:tc>
          <w:tcPr>
            <w:tcW w:w="435"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textAlignment w:val="bottom"/>
              <w:rPr>
                <w:rFonts w:hint="eastAsia" w:ascii="宋体" w:hAnsi="宋体" w:eastAsia="宋体" w:cs="宋体"/>
                <w:sz w:val="24"/>
                <w:szCs w:val="22"/>
              </w:rPr>
            </w:pPr>
            <w:r>
              <w:rPr>
                <w:rFonts w:hint="eastAsia" w:ascii="宋体" w:hAnsi="宋体" w:eastAsia="宋体" w:cs="宋体"/>
                <w:szCs w:val="21"/>
              </w:rPr>
              <w:t>大兴区</w:t>
            </w:r>
          </w:p>
        </w:tc>
        <w:tc>
          <w:tcPr>
            <w:tcW w:w="60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textAlignment w:val="bottom"/>
              <w:rPr>
                <w:rFonts w:hint="eastAsia" w:ascii="宋体" w:hAnsi="宋体" w:eastAsia="宋体" w:cs="宋体"/>
                <w:sz w:val="24"/>
                <w:szCs w:val="22"/>
              </w:rPr>
            </w:pPr>
            <w:r>
              <w:rPr>
                <w:rFonts w:hint="eastAsia" w:ascii="宋体" w:hAnsi="宋体" w:eastAsia="宋体" w:cs="宋体"/>
                <w:szCs w:val="21"/>
              </w:rPr>
              <w:t>黄村镇</w:t>
            </w:r>
          </w:p>
        </w:tc>
        <w:tc>
          <w:tcPr>
            <w:tcW w:w="69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 w:val="24"/>
                <w:szCs w:val="22"/>
              </w:rPr>
            </w:pPr>
            <w:r>
              <w:rPr>
                <w:rFonts w:hint="eastAsia" w:ascii="宋体" w:hAnsi="宋体" w:eastAsia="宋体" w:cs="宋体"/>
                <w:szCs w:val="21"/>
              </w:rPr>
              <w:t>统一石油化工有限公司</w:t>
            </w:r>
          </w:p>
        </w:tc>
        <w:tc>
          <w:tcPr>
            <w:tcW w:w="810"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宋体" w:hAnsi="宋体" w:eastAsia="宋体" w:cs="宋体"/>
                <w:color w:val="000000"/>
                <w:szCs w:val="21"/>
              </w:rPr>
            </w:pPr>
            <w:r>
              <w:rPr>
                <w:rFonts w:hint="eastAsia" w:ascii="宋体" w:hAnsi="宋体" w:eastAsia="宋体" w:cs="宋体"/>
                <w:szCs w:val="21"/>
              </w:rPr>
              <w:t>北京市大兴区</w:t>
            </w:r>
          </w:p>
        </w:tc>
        <w:tc>
          <w:tcPr>
            <w:tcW w:w="66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其他涉气环境问题</w:t>
            </w:r>
          </w:p>
        </w:tc>
        <w:tc>
          <w:tcPr>
            <w:tcW w:w="2191"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一是调合车间废气排放烟囱监测孔未封堵，漏气严重，活性炭一年更换一次。二是错峰运输落实不彻底，未及时通知停止运货，3月4日，天津港化工仍有11辆运输车辆运货到厂，等候进厂区，5日凌晨开始进场卸货。</w:t>
            </w:r>
          </w:p>
        </w:tc>
        <w:tc>
          <w:tcPr>
            <w:tcW w:w="1065"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textAlignment w:val="bottom"/>
              <w:rPr>
                <w:rFonts w:hint="eastAsia" w:ascii="宋体" w:hAnsi="宋体" w:eastAsia="宋体" w:cs="宋体"/>
                <w:szCs w:val="21"/>
              </w:rPr>
            </w:pPr>
            <w:r>
              <w:rPr>
                <w:rFonts w:hint="eastAsia" w:ascii="宋体" w:hAnsi="宋体" w:eastAsia="宋体" w:cs="宋体"/>
                <w:szCs w:val="21"/>
              </w:rPr>
              <w:t>进一步调查核实，依法整改。</w:t>
            </w:r>
          </w:p>
        </w:tc>
        <w:tc>
          <w:tcPr>
            <w:tcW w:w="600"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textAlignment w:val="bottom"/>
              <w:rPr>
                <w:rFonts w:hint="eastAsia" w:ascii="宋体" w:hAnsi="宋体" w:eastAsia="宋体" w:cs="宋体"/>
                <w:szCs w:val="21"/>
              </w:rPr>
            </w:pPr>
            <w:r>
              <w:rPr>
                <w:rFonts w:hint="eastAsia" w:ascii="宋体" w:hAnsi="宋体" w:eastAsia="宋体" w:cs="宋体"/>
                <w:szCs w:val="21"/>
              </w:rPr>
              <w:t>2019/4/20</w:t>
            </w:r>
          </w:p>
        </w:tc>
        <w:tc>
          <w:tcPr>
            <w:tcW w:w="3239"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区环保局对该单位进行现场检查，该单位调合车间废气排放烟囱监测孔未封堵，是该单位委托第三方检测机构对废气排放进行监测，为配合监测提前打开，等待监测过程中该单位调合车间未生产。经区经信委、黄村镇政府现场核实和查看厂区监控录像，该单位2019年03月02日0时至03月04日24时未有货车进出厂区，落实了《统一石油化工有限公司2018年-2019年秋冬季错峰运输实施方案》中的措施。方案中要求该单位“空气重污染橙色及以上污染天气应急期间，原则上不允许重型载货车进出厂区”。经调查了解，该单位03月01日16:45接到黄村镇空气重污染应急指挥部通知后，立即启动统一石油化工有限公司空气重污染应急预案，落实统一石油化工有限公司2018年-2019年秋冬季错峰运输实施方案，并及时通知该单位各个供应商2019年03月02日0时至03月04日24时禁止重型载货车进出厂区。经核查，因供应商车辆在接到通知之前己在运输途中，到达该单位后车辆按要求不能入厂，停在厂外待空气重污染预警解除后入厂卸车。</w:t>
            </w:r>
          </w:p>
        </w:tc>
        <w:tc>
          <w:tcPr>
            <w:tcW w:w="2280"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关于活性炭一年更换一次的问题，现场检查发现该单位调和车间挥发性有机物废气处理设施内活性炭吸附剂1年或检测值达到排放标准限值80%时进行更换，活性炭吸附剂更换不及时，导致调和车间挥发性有机物废气处理设施不正常运行针对该单位调和车间挥发性有机物废气处理设施内活性炭吸附剂更换不及时，导致调和车间挥发性有机物废气处理设施不正常运行的行为，区环保局已立案，依法处罚</w:t>
            </w:r>
            <w:r>
              <w:rPr>
                <w:rFonts w:hint="eastAsia" w:ascii="宋体" w:hAnsi="宋体" w:cs="宋体"/>
                <w:szCs w:val="21"/>
                <w:lang w:val="en-US" w:eastAsia="zh-CN"/>
              </w:rPr>
              <w:t>0.5万元</w:t>
            </w:r>
            <w:bookmarkStart w:id="0" w:name="_GoBack"/>
            <w:bookmarkEnd w:id="0"/>
            <w:r>
              <w:rPr>
                <w:rFonts w:hint="eastAsia" w:ascii="宋体" w:hAnsi="宋体" w:eastAsia="宋体" w:cs="宋体"/>
                <w:szCs w:val="21"/>
              </w:rPr>
              <w:t>（兴环保监立字[2019]第108号）。</w:t>
            </w:r>
          </w:p>
        </w:tc>
        <w:tc>
          <w:tcPr>
            <w:tcW w:w="428"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是</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5AF58DD"/>
    <w:rsid w:val="016B3695"/>
    <w:rsid w:val="2BAA114C"/>
    <w:rsid w:val="3FC97BFA"/>
    <w:rsid w:val="45AF58DD"/>
    <w:rsid w:val="714B684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2019-04-24T07:02:00Z</dcterms:created>
  <dc:creator>肉肉</dc:creator>
  <cp:lastModifiedBy>政府督查室</cp:lastModifiedBy>
  <dcterms:modified xsi:type="dcterms:W3CDTF">2019-06-06T05:48:35Z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