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行政处罚听证标准：</w:t>
      </w:r>
    </w:p>
    <w:p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</w:rPr>
        <w:t>拟作出责令停产停业整顿、责令停产停业、吊销有关许可证、撤销有关执业资格、岗位证书或者对公民处以2万元以上的罚款，对法人或者其它组织处以5万元以上的罚款的行政处罚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D22FB"/>
    <w:rsid w:val="365E7A08"/>
    <w:rsid w:val="433D2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2019-11-25T08:15:00Z</dcterms:created>
  <dc:creator>ZFC</dc:creator>
  <cp:lastModifiedBy>ZFC</cp:lastModifiedBy>
  <dcterms:modified xsi:type="dcterms:W3CDTF">2019-11-25T08:19:32Z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